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7080"/>
        <w:rPr>
          <w:rFonts w:ascii="Verdana" w:hAnsi="Verdana"/>
          <w:highlight w:val="yellow"/>
        </w:rPr>
      </w:pPr>
      <w:bookmarkStart w:id="0" w:name="_GoBack"/>
      <w:bookmarkEnd w:id="0"/>
    </w:p>
    <w:p>
      <w:pPr>
        <w:ind w:left="7080"/>
        <w:rPr>
          <w:rFonts w:ascii="Verdana" w:hAnsi="Verdana"/>
          <w:highlight w:val="yellow"/>
        </w:rPr>
      </w:pPr>
    </w:p>
    <w:p>
      <w:pPr>
        <w:ind w:left="7080"/>
        <w:rPr>
          <w:rFonts w:ascii="Verdana" w:hAnsi="Verdana"/>
        </w:rPr>
      </w:pPr>
    </w:p>
    <w:p>
      <w:pPr>
        <w:ind w:left="5664"/>
        <w:rPr>
          <w:rFonts w:ascii="Verdana" w:hAnsi="Verdana"/>
        </w:rPr>
      </w:pPr>
      <w:r>
        <w:rPr>
          <w:rFonts w:ascii="Verdana" w:hAnsi="Verdana"/>
        </w:rPr>
        <w:t>DATE : 25 novembre 2020</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PREMIER APPEL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A CANDIDATURES A UNE FONCTION DE DIRECTEUR (H/F/X)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DANS UNE ECOLE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SECONDAIRE ORDINAIRE</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ADMISSION AU STAGE</w:t>
      </w:r>
    </w:p>
    <w:p>
      <w:pPr>
        <w:pBdr>
          <w:top w:val="single" w:sz="4" w:space="1" w:color="000000"/>
          <w:left w:val="single" w:sz="4" w:space="4" w:color="000000"/>
          <w:bottom w:val="single" w:sz="4" w:space="1" w:color="000000"/>
          <w:right w:val="single" w:sz="4" w:space="4" w:color="000000"/>
        </w:pBdr>
        <w:rPr>
          <w:rFonts w:ascii="Verdana" w:hAnsi="Verdana"/>
          <w:u w:val="single"/>
        </w:rPr>
      </w:pPr>
      <w:r>
        <w:rPr>
          <w:rFonts w:ascii="Verdana" w:hAnsi="Verdana"/>
          <w:u w:val="single"/>
        </w:rPr>
        <w:t>Coordonnées du P.O.</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Wallonie Bruxelles Enseignement (WBE)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Boulevard du Jardin Botanique 20-22, 1000 Bruxelles</w:t>
      </w:r>
    </w:p>
    <w:p>
      <w:pPr>
        <w:pBdr>
          <w:top w:val="single" w:sz="4" w:space="1" w:color="000000"/>
          <w:left w:val="single" w:sz="4" w:space="4" w:color="000000"/>
          <w:bottom w:val="single" w:sz="4" w:space="1" w:color="000000"/>
          <w:right w:val="single" w:sz="4" w:space="4" w:color="000000"/>
        </w:pBdr>
        <w:rPr>
          <w:rStyle w:val="Lienhypertexte"/>
        </w:rPr>
      </w:pPr>
      <w:r>
        <w:rPr>
          <w:rFonts w:ascii="Verdana" w:hAnsi="Verdana"/>
        </w:rPr>
        <w:t xml:space="preserve">Adresse électronique : </w:t>
      </w:r>
      <w:r>
        <w:rPr>
          <w:rStyle w:val="LienInternet"/>
          <w:rFonts w:ascii="Verdana" w:hAnsi="Verdana"/>
        </w:rPr>
        <w:fldChar w:fldCharType="begin"/>
      </w:r>
      <w:r>
        <w:rPr>
          <w:rStyle w:val="LienInternet"/>
          <w:rFonts w:ascii="Verdana" w:hAnsi="Verdana"/>
        </w:rPr>
        <w:instrText xml:space="preserve"> HYPERLINK "mailto:selection.promotion@w-b-e.be" </w:instrText>
      </w:r>
      <w:r>
        <w:rPr>
          <w:rStyle w:val="LienInternet"/>
          <w:rFonts w:ascii="Verdana" w:hAnsi="Verdana"/>
        </w:rPr>
        <w:fldChar w:fldCharType="separate"/>
      </w:r>
      <w:r>
        <w:rPr>
          <w:rStyle w:val="Lienhypertexte"/>
          <w:rFonts w:ascii="Verdana" w:hAnsi="Verdana"/>
        </w:rPr>
        <w:t>selection.promotion(at)w-b-e.be</w:t>
      </w:r>
    </w:p>
    <w:p>
      <w:pPr>
        <w:pBdr>
          <w:top w:val="single" w:sz="4" w:space="1" w:color="000000"/>
          <w:left w:val="single" w:sz="4" w:space="4" w:color="000000"/>
          <w:bottom w:val="single" w:sz="4" w:space="1" w:color="000000"/>
          <w:right w:val="single" w:sz="4" w:space="4" w:color="000000"/>
        </w:pBdr>
        <w:rPr>
          <w:rFonts w:ascii="Verdana" w:hAnsi="Verdana"/>
        </w:rPr>
      </w:pPr>
      <w:r>
        <w:rPr>
          <w:rStyle w:val="LienInternet"/>
          <w:rFonts w:ascii="Verdana" w:hAnsi="Verdana"/>
        </w:rPr>
        <w:fldChar w:fldCharType="end"/>
      </w:r>
      <w:r>
        <w:rPr>
          <w:rFonts w:ascii="Verdana" w:hAnsi="Verdana"/>
        </w:rPr>
        <w:t>Site web : https://www.w-b-e.be/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u w:val="single"/>
        </w:rPr>
        <w:t>Coordonnées de l'école</w:t>
      </w:r>
      <w:r>
        <w:rPr>
          <w:rFonts w:ascii="Verdana" w:hAnsi="Verdana"/>
        </w:rPr>
        <w:t xml:space="preserve">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ICA Libramont</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w:t>
      </w:r>
      <w:r>
        <w:t xml:space="preserve"> </w:t>
      </w:r>
      <w:r>
        <w:rPr>
          <w:rFonts w:ascii="Verdana" w:hAnsi="Verdana"/>
        </w:rPr>
        <w:t>Avenue Herbofin 39, 6800 Libramont-Chevigny</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w:t>
      </w:r>
      <w:r>
        <w:t xml:space="preserve"> </w:t>
      </w:r>
      <w:r>
        <w:rPr>
          <w:rFonts w:ascii="Verdana" w:hAnsi="Verdana"/>
        </w:rPr>
        <w:t>http://www.icalibramont.be/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rPr>
        <w:t>Date présumée d’entrée en fonction</w:t>
      </w:r>
      <w:r>
        <w:rPr>
          <w:rFonts w:ascii="Verdana" w:hAnsi="Verdana"/>
        </w:rPr>
        <w:t> : 01/03/2021</w:t>
      </w: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u w:val="single"/>
        </w:rPr>
        <w:lastRenderedPageBreak/>
        <w:t>Caractéristiques de l’école</w:t>
      </w:r>
      <w:r>
        <w:rPr>
          <w:rFonts w:ascii="Verdana" w:hAnsi="Verdana"/>
        </w:rPr>
        <w:t xml:space="preserve"> :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Attractivité de l’école.</w:t>
      </w:r>
      <w:r>
        <w:rPr>
          <w:rFonts w:ascii="Verdana" w:hAnsi="Verdana"/>
        </w:rPr>
        <w:tab/>
      </w:r>
      <w:r>
        <w:rPr>
          <w:rFonts w:ascii="Verdana" w:hAnsi="Verdana"/>
        </w:rPr>
        <w:br/>
        <w:t>L’école propose une offre d’enseignement très large : général et qualifiant comportant un grand nombre d’options. Le qualifiant dispose de bonnes installations et des ateliers bien équipés.</w:t>
      </w:r>
      <w:r>
        <w:rPr>
          <w:rFonts w:ascii="Verdana" w:hAnsi="Verdana"/>
        </w:rPr>
        <w:tab/>
      </w:r>
      <w:r>
        <w:rPr>
          <w:rFonts w:ascii="Verdana" w:hAnsi="Verdana"/>
        </w:rPr>
        <w:br/>
      </w:r>
      <w:r>
        <w:rPr>
          <w:rFonts w:ascii="Verdana" w:hAnsi="Verdana"/>
          <w:u w:val="single"/>
        </w:rPr>
        <w:br/>
        <w:t>Caractéristiques structurelles de l’école.</w:t>
      </w:r>
      <w:r>
        <w:rPr>
          <w:rFonts w:ascii="Verdana" w:hAnsi="Verdana"/>
        </w:rPr>
        <w:tab/>
      </w:r>
      <w:r>
        <w:rPr>
          <w:rFonts w:ascii="Verdana" w:hAnsi="Verdana"/>
        </w:rPr>
        <w:br/>
        <w:t>L’école occupe une position centrale dans la province et est desservie par une bonne offre de transport public.</w:t>
      </w:r>
      <w:r>
        <w:rPr>
          <w:rFonts w:ascii="Verdana" w:hAnsi="Verdana"/>
        </w:rPr>
        <w:tab/>
        <w:t xml:space="preserve"> </w:t>
      </w:r>
      <w:r>
        <w:rPr>
          <w:rFonts w:ascii="Verdana" w:hAnsi="Verdana"/>
        </w:rPr>
        <w:br/>
        <w:t>L’ICA Libramont comprend 3 implantations :</w:t>
      </w:r>
      <w:r>
        <w:rPr>
          <w:rFonts w:ascii="Verdana" w:hAnsi="Verdana"/>
        </w:rPr>
        <w:tab/>
        <w:t xml:space="preserve"> </w:t>
      </w:r>
      <w:r>
        <w:rPr>
          <w:rFonts w:ascii="Verdana" w:hAnsi="Verdana"/>
        </w:rPr>
        <w:br/>
        <w:t>- le site principal (avenue Herbofin) avec l’enseignement secondaire, l’internat annexé et le CTA (Centre de Technologie Avancée);</w:t>
      </w:r>
      <w:r>
        <w:rPr>
          <w:rFonts w:ascii="Verdana" w:hAnsi="Verdana"/>
        </w:rPr>
        <w:tab/>
      </w:r>
      <w:r>
        <w:rPr>
          <w:rFonts w:ascii="Verdana" w:hAnsi="Verdana"/>
        </w:rPr>
        <w:br/>
        <w:t>- une implantation secondaire (rue du Pressoir) avec la section qualifiante des infirmiers brevetés hospitaliers et le CEFA (Centre d’Éducation et de Formation en Alternance);</w:t>
      </w:r>
      <w:r>
        <w:rPr>
          <w:rFonts w:ascii="Verdana" w:hAnsi="Verdana"/>
        </w:rPr>
        <w:tab/>
      </w:r>
      <w:r>
        <w:rPr>
          <w:rFonts w:ascii="Verdana" w:hAnsi="Verdana"/>
        </w:rPr>
        <w:br/>
        <w:t>- un troisième site (rue de la Fontaine) avec l’école fondamentale annexée.</w:t>
      </w:r>
      <w:r>
        <w:rPr>
          <w:rFonts w:ascii="Verdana" w:hAnsi="Verdana"/>
        </w:rPr>
        <w:tab/>
      </w:r>
      <w:r>
        <w:rPr>
          <w:rFonts w:ascii="Verdana" w:hAnsi="Verdana"/>
        </w:rPr>
        <w:br/>
      </w:r>
      <w:r>
        <w:rPr>
          <w:rFonts w:ascii="Verdana" w:hAnsi="Verdana"/>
          <w:u w:val="single"/>
        </w:rPr>
        <w:br/>
        <w:t>Spécificité pédagogique</w:t>
      </w:r>
      <w:r>
        <w:rPr>
          <w:rFonts w:ascii="Verdana" w:hAnsi="Verdana"/>
        </w:rPr>
        <w:tab/>
        <w:t xml:space="preserve"> </w:t>
      </w:r>
      <w:r>
        <w:rPr>
          <w:rFonts w:ascii="Verdana" w:hAnsi="Verdana"/>
        </w:rPr>
        <w:br/>
        <w:t>Le projet d’école est à mettre à jour, le dernier couvrant la période de 2010-2013. L’école secondaire a fait partie de la vague 1 des plans de pilotage. L’école fondamentale annexée fait quant à elle partie de la vague 3. L’ICA Libramont est une des deux écoles de WBE proposant le 4</w:t>
      </w:r>
      <w:r>
        <w:rPr>
          <w:rFonts w:ascii="Verdana" w:hAnsi="Verdana"/>
          <w:vertAlign w:val="superscript"/>
        </w:rPr>
        <w:t>ème</w:t>
      </w:r>
      <w:r>
        <w:rPr>
          <w:rFonts w:ascii="Verdana" w:hAnsi="Verdana"/>
        </w:rPr>
        <w:t xml:space="preserve"> degré soins infirmiers composé de 216 élèves âgés de plus de 18 ans.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L’équipe d’encadrement</w:t>
      </w:r>
      <w:r>
        <w:rPr>
          <w:rFonts w:ascii="Verdana" w:hAnsi="Verdana"/>
        </w:rPr>
        <w:tab/>
      </w:r>
      <w:r>
        <w:rPr>
          <w:rFonts w:ascii="Verdana" w:hAnsi="Verdana"/>
        </w:rPr>
        <w:br/>
        <w:t>L’équipe éducative est composée de :</w:t>
      </w:r>
      <w:r>
        <w:rPr>
          <w:rFonts w:ascii="Verdana" w:hAnsi="Verdana"/>
        </w:rPr>
        <w:tab/>
        <w:t xml:space="preserve"> </w:t>
      </w:r>
      <w:r>
        <w:rPr>
          <w:rFonts w:ascii="Verdana" w:hAnsi="Verdana"/>
        </w:rPr>
        <w:br/>
      </w:r>
      <w:r>
        <w:rPr>
          <w:rFonts w:ascii="Verdana" w:hAnsi="Verdana"/>
        </w:rPr>
        <w:tab/>
        <w:t xml:space="preserve">- 234 membres du personnel enseignants, auxiliaire éducation, instituteurs, </w:t>
      </w:r>
      <w:r>
        <w:rPr>
          <w:rFonts w:ascii="Verdana" w:hAnsi="Verdana"/>
        </w:rPr>
        <w:tab/>
        <w:t>maîtres, accompagnateurs CEFA, membres de la direction.</w:t>
      </w:r>
      <w:r>
        <w:rPr>
          <w:rFonts w:ascii="Verdana" w:hAnsi="Verdana"/>
        </w:rPr>
        <w:tab/>
      </w:r>
      <w:r>
        <w:rPr>
          <w:rFonts w:ascii="Verdana" w:hAnsi="Verdana"/>
        </w:rPr>
        <w:br/>
      </w:r>
      <w:r>
        <w:rPr>
          <w:rFonts w:ascii="Verdana" w:hAnsi="Verdana"/>
        </w:rPr>
        <w:tab/>
        <w:t>- 50 membres PAPO.</w:t>
      </w:r>
      <w:r>
        <w:rPr>
          <w:rFonts w:ascii="Verdana" w:hAnsi="Verdana"/>
        </w:rPr>
        <w:tab/>
        <w:t xml:space="preserve"> </w:t>
      </w:r>
      <w:r>
        <w:rPr>
          <w:rFonts w:ascii="Verdana" w:hAnsi="Verdana"/>
        </w:rPr>
        <w:br/>
      </w:r>
      <w:r>
        <w:rPr>
          <w:rFonts w:ascii="Verdana" w:hAnsi="Verdana"/>
          <w:u w:val="single"/>
        </w:rPr>
        <w:br/>
        <w:t>Spécificité de la population scolaire</w:t>
      </w:r>
      <w:r>
        <w:rPr>
          <w:rFonts w:ascii="Verdana" w:hAnsi="Verdana"/>
        </w:rPr>
        <w:tab/>
      </w:r>
      <w:r>
        <w:rPr>
          <w:rFonts w:ascii="Verdana" w:hAnsi="Verdana"/>
          <w:u w:val="single"/>
        </w:rPr>
        <w:br/>
      </w:r>
      <w:r>
        <w:rPr>
          <w:rFonts w:ascii="Verdana" w:hAnsi="Verdana"/>
        </w:rPr>
        <w:t>La population scolaire est en baisse depuis plusieurs années (octobre 2015 : 1065 élèves ; octobre 2019 : 901 élèves) mais en septembre 2020, une remontée se traduit dans les chiffres des inscriptions en première année commune. La population scolaire est d’origine multiculturelle (classe Encadrement Différencié 7) avec des élèves français notamment en 4</w:t>
      </w:r>
      <w:r>
        <w:rPr>
          <w:rFonts w:ascii="Verdana" w:hAnsi="Verdana"/>
          <w:vertAlign w:val="superscript"/>
        </w:rPr>
        <w:t>ème</w:t>
      </w:r>
      <w:r>
        <w:rPr>
          <w:rFonts w:ascii="Verdana" w:hAnsi="Verdana"/>
        </w:rPr>
        <w:t xml:space="preserve"> degré soins infirmiers, 118 sur 216 élèves sont de nationalité française.</w:t>
      </w:r>
    </w:p>
    <w:p>
      <w:pPr>
        <w:rPr>
          <w:rFonts w:ascii="Verdana" w:hAnsi="Verdana"/>
        </w:rPr>
      </w:pPr>
    </w:p>
    <w:p>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b/>
          <w:u w:val="single"/>
        </w:rPr>
        <w:t>Coordonnées de la personne-contact</w:t>
      </w:r>
      <w:r>
        <w:rPr>
          <w:rFonts w:ascii="Verdana" w:hAnsi="Verdana"/>
        </w:rPr>
        <w:t xml:space="preserve"> auprès de laquelle des renseignements complémentaires peuvent être obtenus :</w:t>
      </w:r>
    </w:p>
    <w:p>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rPr>
        <w:t>Richard Reggers, Préfet coordonnateur de la Zone 7 (Luxembourg)</w:t>
      </w:r>
      <w:r>
        <w:rPr>
          <w:rFonts w:ascii="Verdana" w:hAnsi="Verdana"/>
        </w:rPr>
        <w:br/>
        <w:t>Email : richard.reggers(at)cfwb.be</w:t>
      </w:r>
    </w:p>
    <w:p>
      <w:pPr>
        <w:pBdr>
          <w:top w:val="single" w:sz="4" w:space="1" w:color="000000"/>
          <w:left w:val="single" w:sz="4" w:space="4" w:color="000000"/>
          <w:bottom w:val="single" w:sz="4" w:space="1" w:color="000000"/>
          <w:right w:val="single" w:sz="4" w:space="4" w:color="000000"/>
        </w:pBdr>
        <w:jc w:val="both"/>
        <w:rPr>
          <w:rFonts w:ascii="Verdana" w:hAnsi="Verdana" w:cs="Arial"/>
          <w:b/>
          <w:color w:val="000000" w:themeColor="text1"/>
          <w:u w:val="single"/>
        </w:rPr>
      </w:pPr>
      <w:r>
        <w:rPr>
          <w:rFonts w:ascii="Verdana" w:hAnsi="Verdana" w:cs="Arial"/>
          <w:b/>
          <w:color w:val="000000" w:themeColor="text1"/>
          <w:u w:val="single"/>
        </w:rPr>
        <w:t xml:space="preserve">Destinataires de l’appel : </w:t>
      </w:r>
      <w:r>
        <w:rPr>
          <w:rFonts w:ascii="Verdana" w:hAnsi="Verdana" w:cs="Arial"/>
          <w:color w:val="000000" w:themeColor="text1"/>
        </w:rPr>
        <w:t>Les membres du personnel exerçant leurs fonctions au sein de WBE.</w:t>
      </w:r>
    </w:p>
    <w:p>
      <w:pPr>
        <w:pBdr>
          <w:top w:val="single" w:sz="4" w:space="1" w:color="000000"/>
          <w:left w:val="single" w:sz="4" w:space="4" w:color="000000"/>
          <w:bottom w:val="single" w:sz="4" w:space="1" w:color="000000"/>
          <w:right w:val="single" w:sz="4" w:space="4" w:color="000000"/>
        </w:pBdr>
        <w:rPr>
          <w:rFonts w:ascii="Verdana" w:hAnsi="Verdana" w:cs="Arial"/>
          <w:b/>
          <w:bCs/>
          <w:color w:val="000000" w:themeColor="text1"/>
          <w:u w:val="double"/>
        </w:rPr>
      </w:pPr>
      <w:r>
        <w:rPr>
          <w:rFonts w:ascii="Verdana" w:hAnsi="Verdana" w:cs="Arial"/>
          <w:b/>
          <w:bCs/>
          <w:color w:val="000000" w:themeColor="text1"/>
          <w:u w:val="double"/>
        </w:rPr>
        <w:t>Nature de l’emploi :</w:t>
      </w:r>
      <w:r>
        <w:rPr>
          <w:rFonts w:ascii="Verdana" w:hAnsi="Verdana" w:cs="Arial"/>
          <w:bCs/>
          <w:color w:val="000000" w:themeColor="text1"/>
        </w:rPr>
        <w:t xml:space="preserve"> </w:t>
      </w:r>
      <w:r>
        <w:rPr>
          <w:rFonts w:ascii="Verdana" w:hAnsi="Verdana"/>
        </w:rPr>
        <w:t>emploi définitivement vacant.</w:t>
      </w: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b/>
          <w:u w:val="single"/>
        </w:rPr>
      </w:pPr>
      <w:r>
        <w:rPr>
          <w:rFonts w:ascii="Verdana" w:hAnsi="Verdana"/>
          <w:b/>
          <w:u w:val="single"/>
        </w:rPr>
        <w:t>Modalités pour postuler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Les dossiers de candidature doivent être envoyés, au plus tard le 16 décembre 2020 inclus</w:t>
      </w:r>
    </w:p>
    <w:p>
      <w:pPr>
        <w:pBdr>
          <w:top w:val="single" w:sz="4" w:space="1" w:color="000000"/>
          <w:left w:val="single" w:sz="4" w:space="4" w:color="000000"/>
          <w:bottom w:val="single" w:sz="4" w:space="1" w:color="000000"/>
          <w:right w:val="single" w:sz="4" w:space="4" w:color="000000"/>
        </w:pBdr>
      </w:pPr>
      <w:r>
        <w:rPr>
          <w:rFonts w:ascii="Verdana" w:hAnsi="Verdana"/>
        </w:rPr>
        <w:t xml:space="preserve">- De préférence, par envoi électronique avec une demande d’accusé de réception et d’accusé de lecture : </w:t>
      </w:r>
      <w:r>
        <w:rPr>
          <w:rFonts w:ascii="Verdana" w:hAnsi="Verdana"/>
        </w:rPr>
        <w:br/>
        <w:t xml:space="preserve">Destinataire : </w:t>
      </w:r>
      <w:r>
        <w:rPr>
          <w:rStyle w:val="LienInternet"/>
          <w:rFonts w:ascii="Verdana" w:hAnsi="Verdana"/>
        </w:rPr>
        <w:fldChar w:fldCharType="begin"/>
      </w:r>
      <w:r>
        <w:rPr>
          <w:rStyle w:val="LienInternet"/>
          <w:rFonts w:ascii="Verdana" w:hAnsi="Verdana"/>
        </w:rPr>
        <w:instrText xml:space="preserve"> HYPERLINK "mailto:selection.promotion@w-b-e.be" </w:instrText>
      </w:r>
      <w:r>
        <w:rPr>
          <w:rStyle w:val="LienInternet"/>
          <w:rFonts w:ascii="Verdana" w:hAnsi="Verdana"/>
        </w:rPr>
        <w:fldChar w:fldCharType="separate"/>
      </w:r>
      <w:r>
        <w:rPr>
          <w:rStyle w:val="Lienhypertexte"/>
          <w:rFonts w:ascii="Verdana" w:hAnsi="Verdana"/>
        </w:rPr>
        <w:t>selection.promotion(at)w-b-e.be</w:t>
      </w:r>
      <w:r>
        <w:rPr>
          <w:rStyle w:val="Lienhypertexte"/>
          <w:rFonts w:ascii="Verdana" w:hAnsi="Verdana"/>
        </w:rPr>
        <w:br/>
      </w:r>
      <w:r>
        <w:rPr>
          <w:rFonts w:ascii="Verdana" w:hAnsi="Verdana"/>
        </w:rPr>
        <w:t>Objet : WBE CE 2020 016</w:t>
      </w:r>
    </w:p>
    <w:p>
      <w:pPr>
        <w:pBdr>
          <w:top w:val="single" w:sz="4" w:space="1" w:color="000000"/>
          <w:left w:val="single" w:sz="4" w:space="4" w:color="000000"/>
          <w:bottom w:val="single" w:sz="4" w:space="1" w:color="000000"/>
          <w:right w:val="single" w:sz="4" w:space="4" w:color="000000"/>
        </w:pBdr>
        <w:rPr>
          <w:rFonts w:ascii="Verdana" w:hAnsi="Verdana"/>
        </w:rPr>
      </w:pPr>
      <w:r>
        <w:rPr>
          <w:rStyle w:val="LienInternet"/>
          <w:rFonts w:ascii="Verdana" w:hAnsi="Verdana"/>
        </w:rPr>
        <w:fldChar w:fldCharType="end"/>
      </w:r>
      <w:r>
        <w:rPr>
          <w:rFonts w:ascii="Verdana" w:hAnsi="Verdana"/>
        </w:rPr>
        <w:t xml:space="preserve">Ou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 Par recommandé ou déposés contre avis de réception à : </w:t>
      </w:r>
      <w:r>
        <w:rPr>
          <w:rFonts w:ascii="Verdana" w:hAnsi="Verdana"/>
        </w:rPr>
        <w:br/>
        <w:t xml:space="preserve">Direction des ressources humaines : Service sélection et promotion de l’enseignement. </w:t>
      </w:r>
      <w:r>
        <w:rPr>
          <w:rFonts w:ascii="Verdana" w:hAnsi="Verdana"/>
          <w:highlight w:val="yellow"/>
        </w:rPr>
        <w:br/>
      </w:r>
      <w:r>
        <w:rPr>
          <w:rFonts w:ascii="Verdana" w:hAnsi="Verdana"/>
        </w:rPr>
        <w:t>Wallonie Bruxelles Enseignement.</w:t>
      </w:r>
      <w:r>
        <w:rPr>
          <w:rFonts w:ascii="Verdana" w:hAnsi="Verdana"/>
        </w:rPr>
        <w:tab/>
      </w:r>
      <w:r>
        <w:rPr>
          <w:rFonts w:ascii="Verdana" w:hAnsi="Verdana"/>
        </w:rPr>
        <w:br/>
        <w:t xml:space="preserve">Boulevard du Jardin Botanique 20-22 à 1000 Bruxelles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dossier de candidature comportera : </w:t>
      </w:r>
      <w:r>
        <w:rPr>
          <w:rFonts w:ascii="Verdana" w:hAnsi="Verdana"/>
        </w:rPr>
        <w:br/>
        <w:t>- Un curriculum vitae rédigé en français et actualisé indiquant précisément les dates d’exercice des postes (jour, mois, année)</w:t>
      </w:r>
      <w:r>
        <w:rPr>
          <w:rFonts w:ascii="Verdana" w:hAnsi="Verdana"/>
        </w:rPr>
        <w:br/>
        <w:t>- Un formulaire de candidature complété pour  la fonction à pourvoir (voir annexe 3).</w:t>
      </w:r>
      <w:r>
        <w:rPr>
          <w:rFonts w:ascii="Verdana" w:hAnsi="Verdana"/>
        </w:rPr>
        <w:br/>
        <w:t>- Une copie du (ou des) diplôme(s) requis</w:t>
      </w:r>
      <w:r>
        <w:rPr>
          <w:rFonts w:ascii="Verdana" w:hAnsi="Verdana"/>
        </w:rPr>
        <w:br/>
        <w:t xml:space="preserve">- Un extrait de casier judiciaire 596.2 vierge daté de 3 mois maximum à partir de la publication de l’appel à candidatures.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cas échéant, une copie des attestations de réussite obtenues dans le cadre de la formation initiale des directeurs (H/F/X) sera jointe au dossier de candidature.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Annexes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Annexe 1 : Conditions d’accès à la fonction</w:t>
      </w:r>
      <w:r>
        <w:rPr>
          <w:rFonts w:ascii="Verdana" w:hAnsi="Verdana"/>
        </w:rPr>
        <w:tab/>
      </w:r>
      <w:r>
        <w:rPr>
          <w:rFonts w:ascii="Verdana" w:hAnsi="Verdana"/>
        </w:rPr>
        <w:br/>
        <w:t xml:space="preserve">- Annexe 2 : Profil de fonction établi par le Pouvoir organisateur. </w:t>
      </w:r>
      <w:r>
        <w:rPr>
          <w:rFonts w:ascii="Verdana" w:hAnsi="Verdana"/>
        </w:rPr>
        <w:tab/>
      </w:r>
      <w:r>
        <w:rPr>
          <w:rFonts w:ascii="Verdana" w:hAnsi="Verdana"/>
        </w:rPr>
        <w:br/>
        <w:t xml:space="preserve">- Annexe 3 : Formulaire de candidatures (disponible en version électronique sur notre site internet : </w:t>
      </w:r>
      <w:hyperlink r:id="rId9" w:history="1">
        <w:r>
          <w:rPr>
            <w:rStyle w:val="Lienhypertexte"/>
          </w:rPr>
          <w:t>https://www.w-b-e.be/jobs-carriere/evolution-de-carriere/emplois-vacants/</w:t>
        </w:r>
      </w:hyperlink>
      <w:r>
        <w:t xml:space="preserve"> </w:t>
      </w:r>
      <w:r>
        <w:rPr>
          <w:rFonts w:ascii="Verdana" w:hAnsi="Verdana"/>
        </w:rPr>
        <w:t>et à joindre dans votre candidature)</w:t>
      </w:r>
    </w:p>
    <w:p>
      <w:pPr>
        <w:spacing w:after="160" w:line="259" w:lineRule="auto"/>
        <w:rPr>
          <w:rFonts w:ascii="Verdana" w:hAnsi="Verdana"/>
          <w:b/>
        </w:rPr>
      </w:pPr>
      <w:r>
        <w:br w:type="page"/>
      </w:r>
      <w:r>
        <w:rPr>
          <w:rFonts w:ascii="Verdana" w:hAnsi="Verdana"/>
          <w:b/>
        </w:rPr>
        <w:t xml:space="preserve">Annexe 1. Conditions d’accès à la fonction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du niveau supérieur du 1</w:t>
      </w:r>
      <w:r>
        <w:rPr>
          <w:rFonts w:ascii="Verdana" w:hAnsi="Verdana" w:cs="Arial"/>
          <w:color w:val="000000" w:themeColor="text1"/>
          <w:vertAlign w:val="superscript"/>
        </w:rPr>
        <w:t>er</w:t>
      </w:r>
      <w:r>
        <w:rPr>
          <w:rFonts w:ascii="Verdana" w:hAnsi="Verdana" w:cs="Arial"/>
          <w:color w:val="000000" w:themeColor="text1"/>
        </w:rPr>
        <w:t xml:space="preserve"> degré au moins</w:t>
      </w:r>
      <w:r>
        <w:rPr>
          <w:rStyle w:val="Ancredenotedebasdepage"/>
          <w:rFonts w:ascii="Verdana" w:hAnsi="Verdana" w:cs="Arial"/>
          <w:color w:val="000000" w:themeColor="text1"/>
        </w:rPr>
        <w:footnoteReference w:id="1"/>
      </w:r>
      <w:r>
        <w:rPr>
          <w:rFonts w:ascii="Verdana" w:hAnsi="Verdana" w:cs="Arial"/>
          <w:color w:val="000000" w:themeColor="text1"/>
        </w:rPr>
        <w: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bookmarkEnd w:id="1"/>
      <w:r>
        <w:rPr>
          <w:rStyle w:val="Ancredenotedebasdepage"/>
          <w:rFonts w:ascii="Verdana" w:hAnsi="Verdana" w:cs="Arial"/>
        </w:rPr>
        <w:footnoteReference w:id="2"/>
      </w:r>
      <w:r>
        <w:rPr>
          <w:rFonts w:ascii="Verdana" w:hAnsi="Verdana" w:cs="Arial"/>
        </w:rPr>
        <w:t>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3° compter une ancienneté de service de trois ans au sein de l’enseignement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organisé ou subventionné par la Communauté française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4° avoir répondu à l’appel à candidature</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sz w:val="14"/>
        </w:rPr>
      </w:pPr>
      <w:r>
        <w:rPr>
          <w:rFonts w:ascii="Verdana" w:hAnsi="Verdana" w:cs="Arial"/>
          <w:b/>
          <w:color w:val="000000" w:themeColor="text1"/>
        </w:rPr>
        <w:t>Les candidats reconnus comme éligibles à une fonction de directeur (H/F/X) par la Commission de valorisation de l’expérience dans l’enseignement</w:t>
      </w:r>
      <w:bookmarkStart w:id="2" w:name="_Ref532810415"/>
      <w:bookmarkEnd w:id="2"/>
      <w:r>
        <w:rPr>
          <w:rStyle w:val="Ancredenotedebasdepage"/>
          <w:rFonts w:ascii="Verdana" w:eastAsia="Times New Roman" w:hAnsi="Verdana" w:cs="Arial"/>
          <w:b/>
          <w:color w:val="000000" w:themeColor="text1"/>
          <w:lang w:eastAsia="fr-FR"/>
        </w:rPr>
        <w:footnoteReference w:id="3"/>
      </w:r>
      <w:r>
        <w:rPr>
          <w:rFonts w:ascii="Verdana" w:hAnsi="Verdana" w:cs="Arial"/>
          <w:b/>
          <w:color w:val="000000" w:themeColor="text1"/>
        </w:rPr>
        <w:t xml:space="preserve"> ne sont pas concernés par les conditions précitées mais par les conditions suivantes :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rPr>
      </w:pPr>
      <w:r>
        <w:rPr>
          <w:rFonts w:ascii="Verdana" w:hAnsi="Verdana" w:cs="Arial"/>
          <w:color w:val="000000" w:themeColor="text1"/>
        </w:rPr>
        <w:t>1° jouir des droits civils et politiques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pPr>
        <w:pBdr>
          <w:top w:val="single" w:sz="4" w:space="1" w:color="000000"/>
          <w:left w:val="single" w:sz="4" w:space="4" w:color="000000"/>
          <w:bottom w:val="single" w:sz="4" w:space="0" w:color="000000"/>
          <w:right w:val="single" w:sz="4" w:space="4" w:color="000000"/>
        </w:pBdr>
        <w:spacing w:after="0" w:line="240" w:lineRule="auto"/>
        <w:ind w:firstLine="708"/>
        <w:jc w:val="both"/>
      </w:pPr>
      <w:r>
        <w:rPr>
          <w:rFonts w:ascii="Verdana" w:eastAsia="Times New Roman" w:hAnsi="Verdana" w:cs="Arial"/>
          <w:color w:val="000000" w:themeColor="text1"/>
          <w:lang w:eastAsia="fr-FR"/>
        </w:rPr>
        <w:t>5° avoir répondu à l’appel à candidatures.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r>
        <w:rPr>
          <w:rFonts w:ascii="Verdana" w:hAnsi="Verdana"/>
          <w:b/>
        </w:rPr>
        <w:t xml:space="preserve">Sur base des dossiers de candidature, le jury de sélection pourra limiter le nombre de candidatures.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highlight w:val="yellow"/>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Cette première analyse prendra en compte plus particulièrement les éléments suivants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 Dans le formulaire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1 « Responsabilité », en tenant compte des connaissances de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WBE : son organisation, son projet éducatif et pédagogique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r>
        <w:rPr>
          <w:rFonts w:ascii="Verdana" w:hAnsi="Verdana"/>
        </w:rPr>
        <w:t xml:space="preserve"> ICA Libramont </w:t>
      </w:r>
      <w:r>
        <w:rPr>
          <w:rFonts w:ascii="Verdana" w:eastAsia="Times New Roman" w:hAnsi="Verdana" w:cs="Arial"/>
          <w:color w:val="000000" w:themeColor="text1"/>
          <w:lang w:eastAsia="fr-FR"/>
        </w:rPr>
        <w:t xml:space="preserve">: les projets pédagogiques déjà mis en place, les caractéristiques de l’établissement, l’ancrage environnemental. </w:t>
      </w:r>
    </w:p>
    <w:p>
      <w:pPr>
        <w:pBdr>
          <w:top w:val="single" w:sz="4" w:space="1" w:color="000000"/>
          <w:left w:val="single" w:sz="4" w:space="4" w:color="000000"/>
          <w:bottom w:val="single" w:sz="4" w:space="0" w:color="000000"/>
          <w:right w:val="single" w:sz="4" w:space="4" w:color="000000"/>
        </w:pBdr>
        <w:spacing w:after="0" w:line="240" w:lineRule="auto"/>
        <w:ind w:firstLine="1134"/>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3 « Motivation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Le jury est prévu le 21 janvier 2021, une convocation sera envoyée aux candidats retenus après le 05 janvier 2021.</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Diplôme : Vous devez être en possession du ou des diplôme(s) requis :</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hors Belgique, une attestation d'équivalence du diplôme de la Communauté française est requise (pour l'obtenir: 02/690.89.00  ou https://www.formulairesweb.cfwb.be/equi_ens_oblig/formulaire_equivalence.html) Service de l’équivalence des diplômes /Service de la reconnaissance académique et professionnelle des diplômes étrangers d’enseignement supérieur)</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spacing w:after="160" w:line="259" w:lineRule="auto"/>
        <w:rPr>
          <w:rFonts w:ascii="Verdana" w:hAnsi="Verdana"/>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pPr>
      <w:r>
        <w:rPr>
          <w:rFonts w:ascii="Verdana" w:eastAsia="Times New Roman" w:hAnsi="Verdana" w:cs="Arial"/>
          <w:color w:val="000000" w:themeColor="text1"/>
          <w:lang w:eastAsia="fr-FR"/>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Faites-en mention dans votre acte de candidature en nous fournissant les informations qui nous permettront d’adapter les conditions de l’entretien.</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pPr>
        <w:pBdr>
          <w:top w:val="single" w:sz="4" w:space="1" w:color="000000"/>
          <w:left w:val="single" w:sz="4" w:space="4" w:color="000000"/>
          <w:bottom w:val="single" w:sz="4" w:space="1" w:color="000000"/>
          <w:right w:val="single" w:sz="4" w:space="4" w:color="000000"/>
        </w:pBdr>
        <w:spacing w:after="0" w:line="240" w:lineRule="auto"/>
        <w:jc w:val="center"/>
        <w:rPr>
          <w:rStyle w:val="Lienhypertexte"/>
          <w:rFonts w:ascii="Verdana" w:eastAsia="Times New Roman" w:hAnsi="Verdana" w:cs="Arial"/>
          <w:color w:val="000000" w:themeColor="text1"/>
          <w:u w:val="none"/>
          <w:lang w:eastAsia="fr-FR"/>
        </w:rPr>
      </w:pPr>
      <w:r>
        <w:rPr>
          <w:rStyle w:val="LienInternet"/>
          <w:rFonts w:ascii="Verdana" w:hAnsi="Verdana"/>
        </w:rPr>
        <w:fldChar w:fldCharType="begin"/>
      </w:r>
      <w:r>
        <w:rPr>
          <w:rStyle w:val="LienInternet"/>
          <w:rFonts w:ascii="Verdana" w:hAnsi="Verdana"/>
        </w:rPr>
        <w:instrText xml:space="preserve"> HYPERLINK "mailto:selection.promotion@w-b-e.be" </w:instrText>
      </w:r>
      <w:r>
        <w:rPr>
          <w:rStyle w:val="LienInternet"/>
          <w:rFonts w:ascii="Verdana" w:hAnsi="Verdana"/>
        </w:rPr>
        <w:fldChar w:fldCharType="separate"/>
      </w:r>
      <w:r>
        <w:rPr>
          <w:rStyle w:val="Lienhypertexte"/>
          <w:rFonts w:ascii="Verdana" w:hAnsi="Verdana"/>
        </w:rPr>
        <w:t>selection.promotion(at)w-b-e.be</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Style w:val="LienInternet"/>
          <w:rFonts w:ascii="Verdana" w:hAnsi="Verdana"/>
        </w:rPr>
        <w:fldChar w:fldCharType="end"/>
      </w:r>
    </w:p>
    <w:p>
      <w:pPr>
        <w:spacing w:after="160" w:line="259" w:lineRule="auto"/>
        <w:rPr>
          <w:rFonts w:ascii="Verdana" w:hAnsi="Verdana"/>
        </w:rPr>
      </w:pPr>
      <w:r>
        <w:br w:type="page"/>
      </w:r>
    </w:p>
    <w:p>
      <w:pPr>
        <w:spacing w:after="160" w:line="259" w:lineRule="auto"/>
        <w:rPr>
          <w:rFonts w:ascii="Verdana" w:hAnsi="Verdana"/>
        </w:rPr>
      </w:pPr>
    </w:p>
    <w:p>
      <w:pPr>
        <w:tabs>
          <w:tab w:val="left" w:pos="1985"/>
        </w:tabs>
        <w:spacing w:after="0" w:line="240" w:lineRule="auto"/>
        <w:jc w:val="both"/>
        <w:rPr>
          <w:rFonts w:ascii="Calibri" w:eastAsia="Times New Roman" w:hAnsi="Calibri" w:cs="Times New Roman"/>
          <w:sz w:val="20"/>
          <w:szCs w:val="20"/>
          <w:lang w:eastAsia="fr-FR"/>
        </w:rPr>
      </w:pPr>
      <w:r>
        <w:rPr>
          <w:rFonts w:eastAsia="Times New Roman" w:cs="Times New Roman"/>
          <w:noProof/>
          <w:sz w:val="20"/>
          <w:szCs w:val="20"/>
          <w:lang w:eastAsia="fr-BE"/>
        </w:rPr>
        <w:drawing>
          <wp:anchor distT="0" distB="0" distL="0" distR="0" simplePos="0" relativeHeight="11" behindDoc="0" locked="0" layoutInCell="1" allowOverlap="1">
            <wp:simplePos x="0" y="0"/>
            <wp:positionH relativeFrom="margin">
              <wp:align>center</wp:align>
            </wp:positionH>
            <wp:positionV relativeFrom="paragraph">
              <wp:posOffset>-33655</wp:posOffset>
            </wp:positionV>
            <wp:extent cx="4919345" cy="1211580"/>
            <wp:effectExtent l="0" t="0" r="0" b="0"/>
            <wp:wrapNone/>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0"/>
                    <pic:cNvPicPr>
                      <a:picLocks noChangeAspect="1" noChangeArrowheads="1"/>
                    </pic:cNvPicPr>
                  </pic:nvPicPr>
                  <pic:blipFill>
                    <a:blip r:embed="rId10"/>
                    <a:stretch>
                      <a:fillRect/>
                    </a:stretch>
                  </pic:blipFill>
                  <pic:spPr bwMode="auto">
                    <a:xfrm>
                      <a:off x="0" y="0"/>
                      <a:ext cx="4919345" cy="1211580"/>
                    </a:xfrm>
                    <a:prstGeom prst="rect">
                      <a:avLst/>
                    </a:prstGeom>
                  </pic:spPr>
                </pic:pic>
              </a:graphicData>
            </a:graphic>
          </wp:anchor>
        </w:drawing>
      </w:r>
    </w:p>
    <w:p>
      <w:pPr>
        <w:tabs>
          <w:tab w:val="left" w:pos="1985"/>
        </w:tabs>
        <w:spacing w:after="0" w:line="240" w:lineRule="auto"/>
        <w:jc w:val="both"/>
        <w:rPr>
          <w:rFonts w:ascii="Calibri" w:eastAsia="Times New Roman" w:hAnsi="Calibri" w:cs="Times New Roman"/>
          <w:sz w:val="20"/>
          <w:szCs w:val="20"/>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before="3640" w:after="240" w:line="240" w:lineRule="auto"/>
        <w:contextualSpacing/>
        <w:rPr>
          <w:rFonts w:ascii="Calibri Light" w:eastAsia="Calibri" w:hAnsi="Calibri Light" w:cs="Times New Roman"/>
          <w:b/>
          <w:caps/>
          <w:sz w:val="48"/>
          <w:szCs w:val="68"/>
          <w:lang w:eastAsia="nl-BE"/>
        </w:rPr>
      </w:pPr>
      <w:sdt>
        <w:sdtPr>
          <w:alias w:val="Titre de la fonction"/>
          <w:id w:val="-1696617321"/>
          <w:dataBinding w:prefixMappings="xmlns:ns0='http://schemas.microsoft.com/office/2006/coverPageProps' " w:xpath="/ns0:CoverPageProperties[1]/ns0:CompanyAddress[1]" w:storeItemID="{55AF091B-3C7A-41E3-B477-F2FDAA23CFDA}"/>
          <w:text/>
        </w:sdtPr>
        <w:sdtContent>
          <w:r>
            <w:rPr>
              <w:rFonts w:ascii="Calibri Light" w:eastAsia="Calibri" w:hAnsi="Calibri Light" w:cs="Times New Roman"/>
              <w:b/>
              <w:caps/>
              <w:color w:val="0A0F16"/>
              <w:sz w:val="68"/>
              <w:szCs w:val="68"/>
              <w:lang w:eastAsia="nl-BE"/>
            </w:rPr>
            <w:t>Directeur</w:t>
          </w:r>
        </w:sdtContent>
      </w:sdt>
      <w:r>
        <w:rPr>
          <w:rFonts w:ascii="Calibri Light" w:eastAsia="Calibri" w:hAnsi="Calibri Light" w:cs="Times New Roman"/>
          <w:b/>
          <w:caps/>
          <w:sz w:val="68"/>
          <w:szCs w:val="68"/>
          <w:lang w:eastAsia="nl-BE"/>
        </w:rPr>
        <w:t xml:space="preserve"> </w:t>
      </w:r>
      <w:r>
        <w:rPr>
          <w:rFonts w:ascii="Calibri Light" w:eastAsia="Calibri" w:hAnsi="Calibri Light" w:cs="Times New Roman"/>
          <w:b/>
          <w:caps/>
          <w:sz w:val="48"/>
          <w:szCs w:val="68"/>
          <w:lang w:eastAsia="nl-BE"/>
        </w:rPr>
        <w:t>(h/f/x)</w:t>
      </w:r>
    </w:p>
    <w:p>
      <w:pPr>
        <w:spacing w:after="0" w:line="240" w:lineRule="auto"/>
        <w:rPr>
          <w:rFonts w:ascii="Times New Roman" w:eastAsia="Times New Roman" w:hAnsi="Times New Roman" w:cs="Times New Roman"/>
          <w:color w:val="7F7F7F"/>
          <w:sz w:val="24"/>
          <w:szCs w:val="24"/>
          <w:lang w:eastAsia="fr-FR"/>
        </w:rPr>
      </w:pPr>
    </w:p>
    <w:sdt>
      <w:sdtPr>
        <w:alias w:val="Service"/>
        <w:id w:val="1739652470"/>
        <w:dataBinding w:prefixMappings="xmlns:ns0='http://purl.org/dc/elements/1.1/' xmlns:ns1='http://schemas.openxmlformats.org/package/2006/metadata/core-properties' " w:xpath="/ns1:coreProperties[1]/ns0:creator[1]" w:storeItemID="{6C3C8BC8-F283-45AE-878A-BAB7291924A1}"/>
        <w:text/>
      </w:sdtPr>
      <w:sdtContent>
        <w:p>
          <w:pPr>
            <w:spacing w:after="0" w:line="273" w:lineRule="auto"/>
            <w:ind w:left="426"/>
            <w:rPr>
              <w:rFonts w:ascii="Calibri Light" w:eastAsia="Calibri" w:hAnsi="Calibri Light" w:cs="Calibri Light"/>
              <w:b/>
              <w:sz w:val="48"/>
              <w:szCs w:val="44"/>
              <w:u w:val="single" w:color="C9282D"/>
            </w:rPr>
          </w:pPr>
          <w:r>
            <w:rPr>
              <w:rFonts w:ascii="Calibri Light" w:eastAsia="Calibri" w:hAnsi="Calibri Light" w:cs="Calibri Light"/>
              <w:b/>
              <w:color w:val="000000" w:themeColor="text1"/>
              <w:sz w:val="48"/>
              <w:szCs w:val="44"/>
              <w:u w:val="single" w:color="C9282D"/>
            </w:rPr>
            <w:t>Ecole Secondaire</w:t>
          </w:r>
        </w:p>
      </w:sdtContent>
    </w:sdt>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426"/>
        <w:rPr>
          <w:rFonts w:ascii="Calibri Light" w:eastAsia="Times New Roman" w:hAnsi="Calibri Light" w:cs="Calibri Light"/>
          <w:b/>
          <w:sz w:val="36"/>
          <w:szCs w:val="24"/>
          <w:u w:val="single" w:color="F4AA00"/>
          <w:lang w:eastAsia="fr-FR"/>
        </w:r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F4AA00"/>
          <w:lang w:eastAsia="fr-FR"/>
        </w:rPr>
        <w:t>Etablissement : ICA Libramont</w:t>
      </w:r>
    </w:p>
    <w:p>
      <w:pPr>
        <w:spacing w:after="0" w:line="240" w:lineRule="auto"/>
        <w:ind w:firstLine="426"/>
        <w:rPr>
          <w:rFonts w:ascii="Calibri Light" w:eastAsia="Times New Roman" w:hAnsi="Calibri Light" w:cs="Calibri Light"/>
          <w:b/>
          <w:sz w:val="36"/>
          <w:szCs w:val="24"/>
          <w:highlight w:val="yellow"/>
          <w:lang w:eastAsia="fr-FR"/>
        </w:rPr>
      </w:pPr>
    </w:p>
    <w:p>
      <w:pPr>
        <w:spacing w:after="0" w:line="240" w:lineRule="auto"/>
        <w:ind w:firstLine="426"/>
        <w:rPr>
          <w:rFonts w:ascii="Calibri Light" w:eastAsia="Times New Roman" w:hAnsi="Calibri Light" w:cs="Calibri Light"/>
          <w:b/>
          <w:color w:val="000000" w:themeColor="text1"/>
          <w:sz w:val="36"/>
          <w:szCs w:val="24"/>
          <w:u w:val="single" w:color="001D77"/>
          <w:lang w:eastAsia="fr-FR"/>
        </w:rPr>
        <w:sectPr>
          <w:footerReference w:type="default" r:id="rId11"/>
          <w:headerReference w:type="first" r:id="rId12"/>
          <w:footerReference w:type="first" r:id="rId13"/>
          <w:pgSz w:w="11906" w:h="16838"/>
          <w:pgMar w:top="1417" w:right="1417" w:bottom="1417" w:left="1417" w:header="567" w:footer="227" w:gutter="0"/>
          <w:cols w:space="720"/>
          <w:formProt w:val="0"/>
          <w:titlePg/>
          <w:docGrid w:linePitch="326" w:charSpace="4096"/>
        </w:sect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001D77"/>
          <w:lang w:eastAsia="fr-FR"/>
        </w:rPr>
        <w:t xml:space="preserve">Référence : </w:t>
      </w:r>
      <w:bookmarkStart w:id="3" w:name="_Toc489775823"/>
      <w:bookmarkStart w:id="4" w:name="_Toc495298909"/>
      <w:bookmarkStart w:id="5" w:name="_Toc496000780"/>
      <w:bookmarkStart w:id="6" w:name="_Toc496507100"/>
      <w:bookmarkEnd w:id="3"/>
      <w:bookmarkEnd w:id="4"/>
      <w:bookmarkEnd w:id="5"/>
      <w:bookmarkEnd w:id="6"/>
      <w:r>
        <w:rPr>
          <w:rFonts w:ascii="Calibri Light" w:eastAsia="Times New Roman" w:hAnsi="Calibri Light" w:cs="Calibri Light"/>
          <w:b/>
          <w:color w:val="000000" w:themeColor="text1"/>
          <w:sz w:val="36"/>
          <w:szCs w:val="24"/>
          <w:u w:val="single" w:color="001D77"/>
          <w:lang w:eastAsia="fr-FR"/>
        </w:rPr>
        <w:t>WBE CE 2020 016</w:t>
      </w:r>
    </w:p>
    <w:tbl>
      <w:tblPr>
        <w:tblpPr w:leftFromText="141" w:rightFromText="141" w:vertAnchor="text" w:horzAnchor="margin" w:tblpY="-799"/>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 de la fonction</w:t>
      </w: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br/>
        <w:t xml:space="preserve">Le directeur (H/F/X) a une compétence générale de pilotage et d’organisation de l’établissement. </w:t>
      </w:r>
      <w:r>
        <w:rPr>
          <w:rFonts w:eastAsia="Times New Roman" w:cs="Times New Roman"/>
          <w:color w:val="000000"/>
          <w:lang w:eastAsia="fr-FR"/>
        </w:rPr>
        <w:br/>
        <w:t>Il/Elle assume les responsabilités que son pouvoir organisateur, WBE, lui confie dans le cadre fixé par la lettre de mission.</w:t>
      </w: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3155"/>
        <w:gridCol w:w="1948"/>
        <w:gridCol w:w="986"/>
        <w:gridCol w:w="294"/>
        <w:gridCol w:w="662"/>
        <w:gridCol w:w="1033"/>
      </w:tblGrid>
      <w:tr>
        <w:trPr>
          <w:gridAfter w:val="5"/>
          <w:wAfter w:w="4923" w:type="dxa"/>
          <w:trHeight w:val="311"/>
        </w:trPr>
        <w:tc>
          <w:tcPr>
            <w:tcW w:w="3155" w:type="dxa"/>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trPr>
          <w:trHeight w:val="460"/>
        </w:trPr>
        <w:tc>
          <w:tcPr>
            <w:tcW w:w="3155" w:type="dxa"/>
            <w:vMerge w:val="restart"/>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34" w:type="dxa"/>
            <w:gridSpan w:val="2"/>
            <w:tcBorders>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Régulier</w:t>
            </w:r>
          </w:p>
        </w:tc>
        <w:tc>
          <w:tcPr>
            <w:tcW w:w="1033" w:type="dxa"/>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w:t>
            </w:r>
          </w:p>
        </w:tc>
      </w:tr>
      <w:tr>
        <w:trPr>
          <w:trHeight w:val="460"/>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7" w:name="__Fieldmark__318_2749759877"/>
            <w:bookmarkEnd w:id="7"/>
            <w:r>
              <w:fldChar w:fldCharType="end"/>
            </w:r>
          </w:p>
        </w:tc>
      </w:tr>
      <w:tr>
        <w:trPr>
          <w:trHeight w:val="460"/>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8" w:name="__Fieldmark__324_2749759877"/>
            <w:bookmarkEnd w:id="8"/>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r>
      <w:tr>
        <w:trPr>
          <w:trHeight w:val="460"/>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9" w:name="__Fieldmark__334_2749759877"/>
            <w:bookmarkEnd w:id="9"/>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0" w:name="__Fieldmark__340_2749759877"/>
            <w:bookmarkEnd w:id="10"/>
            <w:r>
              <w:fldChar w:fldCharType="end"/>
            </w:r>
          </w:p>
        </w:tc>
      </w:tr>
      <w:tr>
        <w:trPr>
          <w:trHeight w:val="460"/>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élèves, les parents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1" w:name="__Fieldmark__344_2749759877"/>
            <w:bookmarkEnd w:id="11"/>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2" w:name="__Fieldmark__350_2749759877"/>
            <w:bookmarkEnd w:id="12"/>
            <w:r>
              <w:fldChar w:fldCharType="end"/>
            </w:r>
          </w:p>
        </w:tc>
      </w:tr>
      <w:tr>
        <w:trPr>
          <w:gridAfter w:val="5"/>
          <w:wAfter w:w="4923" w:type="dxa"/>
          <w:trHeight w:val="269"/>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5"/>
          <w:wAfter w:w="4923" w:type="dxa"/>
          <w:trHeight w:val="269"/>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2"/>
          <w:wAfter w:w="1695" w:type="dxa"/>
          <w:trHeight w:val="460"/>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948" w:type="dxa"/>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3" w:name="__Fieldmark__353_2749759877"/>
            <w:bookmarkEnd w:id="13"/>
            <w:r>
              <w:fldChar w:fldCharType="end"/>
            </w:r>
            <w:r>
              <w:rPr>
                <w:rFonts w:eastAsia="Times New Roman" w:cs="Times New Roman"/>
                <w:color w:val="000000"/>
                <w:lang w:eastAsia="fr-FR"/>
              </w:rPr>
              <w:t xml:space="preserve"> </w:t>
            </w:r>
            <w:r>
              <w:rPr>
                <w:rFonts w:ascii="Segoe UI Symbol" w:eastAsia="Times New Roman" w:hAnsi="Segoe UI Symbol" w:cs="Times New Roman"/>
                <w:color w:val="000000"/>
                <w:lang w:eastAsia="fr-FR"/>
              </w:rPr>
              <w:t>É</w:t>
            </w:r>
            <w:r>
              <w:rPr>
                <w:rFonts w:eastAsia="Times New Roman" w:cs="Times New Roman"/>
                <w:color w:val="000000"/>
                <w:lang w:eastAsia="fr-FR"/>
              </w:rPr>
              <w:t xml:space="preserve">tablissement                   </w:t>
            </w:r>
          </w:p>
        </w:tc>
        <w:tc>
          <w:tcPr>
            <w:tcW w:w="1280" w:type="dxa"/>
            <w:gridSpan w:val="2"/>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4" w:name="__Fieldmark__357_2749759877"/>
            <w:bookmarkEnd w:id="14"/>
            <w:r>
              <w:fldChar w:fldCharType="end"/>
            </w:r>
            <w:r>
              <w:rPr>
                <w:rFonts w:eastAsia="Times New Roman" w:cs="Times New Roman"/>
                <w:color w:val="000000"/>
                <w:lang w:eastAsia="fr-FR"/>
              </w:rPr>
              <w:t xml:space="preserve"> Itinérant</w:t>
            </w:r>
          </w:p>
        </w:tc>
      </w:tr>
      <w:tr>
        <w:trPr>
          <w:gridAfter w:val="2"/>
          <w:wAfter w:w="1695" w:type="dxa"/>
          <w:trHeight w:val="460"/>
        </w:trPr>
        <w:tc>
          <w:tcPr>
            <w:tcW w:w="3155" w:type="dxa"/>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948" w:type="dxa"/>
            <w:shd w:val="clear" w:color="auto" w:fill="auto"/>
            <w:vAlign w:val="center"/>
          </w:tcPr>
          <w:p>
            <w:pPr>
              <w:tabs>
                <w:tab w:val="left" w:pos="1985"/>
              </w:tabs>
              <w:spacing w:after="0" w:line="240" w:lineRule="auto"/>
              <w:jc w:val="both"/>
            </w:pPr>
          </w:p>
        </w:tc>
        <w:tc>
          <w:tcPr>
            <w:tcW w:w="1280" w:type="dxa"/>
            <w:gridSpan w:val="2"/>
            <w:shd w:val="clear" w:color="auto" w:fill="auto"/>
            <w:vAlign w:val="center"/>
          </w:tcPr>
          <w:p>
            <w:pPr>
              <w:tabs>
                <w:tab w:val="left" w:pos="1985"/>
              </w:tabs>
              <w:spacing w:after="0" w:line="240" w:lineRule="auto"/>
              <w:jc w:val="both"/>
            </w:pPr>
          </w:p>
        </w:tc>
      </w:tr>
    </w:tbl>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Missions de WBE en tant que pouvoir organisateur</w:t>
      </w:r>
    </w:p>
    <w:p>
      <w:pPr>
        <w:tabs>
          <w:tab w:val="left" w:pos="1985"/>
        </w:tabs>
        <w:spacing w:after="0" w:line="240" w:lineRule="auto"/>
        <w:jc w:val="both"/>
        <w:rPr>
          <w:rFonts w:ascii="Calibri" w:eastAsia="Times New Roman" w:hAnsi="Calibri" w:cs="Times New Roman"/>
          <w:b/>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Wallonie Bruxelles Enseignement (WBE)</w:t>
      </w:r>
      <w:r>
        <w:rPr>
          <w:rFonts w:eastAsia="Times New Roman" w:cs="Times New Roman"/>
          <w:b/>
          <w:bCs/>
          <w:color w:val="000000"/>
          <w:lang w:eastAsia="fr-FR"/>
        </w:rPr>
        <w:t xml:space="preserve"> est le plus important pouvoir organisateur d’enseignement dans l’espace belge francophone. </w:t>
      </w:r>
      <w:r>
        <w:rPr>
          <w:rFonts w:eastAsia="Times New Roman" w:cs="Times New Roman"/>
          <w:bCs/>
          <w:color w:val="000000"/>
          <w:lang w:eastAsia="fr-FR"/>
        </w:rPr>
        <w:t>Nous</w:t>
      </w:r>
      <w:r>
        <w:rPr>
          <w:rFonts w:eastAsia="Times New Roman" w:cs="Times New Roman"/>
          <w:color w:val="000000"/>
          <w:lang w:eastAsia="fr-FR"/>
        </w:rPr>
        <w:t xml:space="preserve"> rassemblons </w:t>
      </w:r>
      <w:r>
        <w:rPr>
          <w:rFonts w:eastAsia="Times New Roman" w:cs="Times New Roman"/>
          <w:b/>
          <w:color w:val="000000"/>
          <w:lang w:eastAsia="fr-FR"/>
        </w:rPr>
        <w:t>365</w:t>
      </w:r>
      <w:r>
        <w:rPr>
          <w:rFonts w:eastAsia="Times New Roman" w:cs="Times New Roman"/>
          <w:color w:val="000000"/>
          <w:lang w:eastAsia="fr-FR"/>
        </w:rPr>
        <w:t xml:space="preserve"> établissements scolaires </w:t>
      </w:r>
      <w:r>
        <w:rPr>
          <w:rFonts w:eastAsia="Times New Roman" w:cs="Times New Roman"/>
          <w:bCs/>
          <w:color w:val="000000"/>
          <w:lang w:eastAsia="fr-FR"/>
        </w:rPr>
        <w:t>et 150 institutions apparentées (internats, centres PMS, etc.), </w:t>
      </w:r>
      <w:r>
        <w:rPr>
          <w:rFonts w:eastAsia="Times New Roman" w:cs="Times New Roman"/>
          <w:color w:val="000000"/>
          <w:lang w:eastAsia="fr-FR"/>
        </w:rPr>
        <w:t>répartis sur l’ensemble du territoire de la Fédération Wallonie-Bruxelles.</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b/>
          <w:bCs/>
          <w:color w:val="000000"/>
          <w:lang w:eastAsia="fr-FR"/>
        </w:rPr>
        <w:t xml:space="preserve">Ce service public </w:t>
      </w:r>
      <w:r>
        <w:rPr>
          <w:rFonts w:eastAsia="Times New Roman" w:cs="Times New Roman"/>
          <w:bCs/>
          <w:color w:val="000000"/>
          <w:lang w:eastAsia="fr-FR"/>
        </w:rPr>
        <w:t xml:space="preserve">accueille </w:t>
      </w:r>
      <w:r>
        <w:rPr>
          <w:rFonts w:eastAsia="Times New Roman" w:cs="Times New Roman"/>
          <w:color w:val="000000"/>
          <w:lang w:eastAsia="fr-FR"/>
        </w:rPr>
        <w:t>plus de 211 000 élèves ou étudiants de la maternelle à l’enseignement supérieur et emploie plus de 30 000 personnes. WBE, c’est aussi 3.200.000 m de bâtiments scolaires distribués sur 800 sites géographiques.</w:t>
      </w:r>
    </w:p>
    <w:p>
      <w:pPr>
        <w:spacing w:after="0" w:line="240" w:lineRule="auto"/>
        <w:jc w:val="both"/>
        <w:rPr>
          <w:rFonts w:ascii="Calibri" w:eastAsia="Times New Roman" w:hAnsi="Calibri" w:cs="Times New Roman"/>
          <w:color w:val="000000"/>
          <w:lang w:eastAsia="fr-FR"/>
        </w:rPr>
      </w:pPr>
    </w:p>
    <w:p>
      <w:pPr>
        <w:spacing w:after="0" w:line="240" w:lineRule="auto"/>
        <w:jc w:val="both"/>
      </w:pPr>
      <w:r>
        <w:rPr>
          <w:rFonts w:eastAsia="Times New Roman" w:cs="Times New Roman"/>
          <w:color w:val="000000"/>
          <w:lang w:eastAsia="fr-FR"/>
        </w:rPr>
        <w:t>Le décret spécial du 7 février 2019 crée un organisme public autonome chargé de la compétence de pouvoir organisateur de l’Enseignement organisé par la Communauté française.</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eastAsia="Times New Roman" w:cs="Times New Roman"/>
          <w:color w:val="000000"/>
          <w:lang w:eastAsia="fr-FR"/>
        </w:rPr>
      </w:pPr>
      <w:r>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jc w:val="center"/>
        <w:tblCellMar>
          <w:left w:w="70" w:type="dxa"/>
          <w:right w:w="70" w:type="dxa"/>
        </w:tblCellMar>
        <w:tblLook w:val="0000" w:firstRow="0" w:lastRow="0" w:firstColumn="0" w:lastColumn="0" w:noHBand="0" w:noVBand="0"/>
      </w:tblPr>
      <w:tblGrid>
        <w:gridCol w:w="2891"/>
        <w:gridCol w:w="2891"/>
        <w:gridCol w:w="2891"/>
      </w:tblGrid>
      <w:tr>
        <w:trPr>
          <w:trHeight w:val="499"/>
          <w:jc w:val="center"/>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eastAsia="Times New Roman" w:cs="Times New Roman"/>
          <w:i/>
          <w:color w:val="FFFFFF" w:themeColor="background1"/>
          <w:sz w:val="28"/>
          <w:lang w:eastAsia="fr-FR"/>
        </w:rPr>
        <w:t>Charte des valeurs de WBE</w:t>
      </w:r>
    </w:p>
    <w:p>
      <w:pPr>
        <w:spacing w:after="0" w:line="240" w:lineRule="auto"/>
        <w:rPr>
          <w:rFonts w:ascii="Times New Roman" w:eastAsia="Times New Roman" w:hAnsi="Times New Roman" w:cs="Times New Roman"/>
          <w:color w:val="000000"/>
          <w:sz w:val="24"/>
          <w:szCs w:val="24"/>
          <w:lang w:val="fr-FR" w:eastAsia="fr-FR"/>
        </w:rPr>
      </w:pPr>
    </w:p>
    <w:p>
      <w:pPr>
        <w:spacing w:after="0" w:line="240" w:lineRule="auto"/>
        <w:jc w:val="both"/>
        <w:rPr>
          <w:rFonts w:ascii="Calibri" w:eastAsia="Times New Roman" w:hAnsi="Calibri" w:cs="Calibri"/>
          <w:color w:val="000000"/>
          <w:szCs w:val="24"/>
          <w:lang w:val="fr-FR" w:eastAsia="fr-FR"/>
        </w:rPr>
      </w:pPr>
      <w:r>
        <w:rPr>
          <w:rFonts w:eastAsia="Times New Roman" w:cs="Calibri"/>
          <w:color w:val="000000"/>
          <w:szCs w:val="24"/>
          <w:lang w:val="fr-FR" w:eastAsia="fr-FR"/>
        </w:rPr>
        <w:t xml:space="preserve">WBE, par l’engagement et la qualité du travail des membres de son personnel, offre à chaque étudiant, à chaque élève et à sa famille, la possibilité de vivre et de partager des valeurs essentielles : </w:t>
      </w:r>
    </w:p>
    <w:p>
      <w:pPr>
        <w:spacing w:after="0" w:line="240" w:lineRule="auto"/>
        <w:jc w:val="both"/>
        <w:rPr>
          <w:rFonts w:ascii="Calibri" w:eastAsia="Times New Roman" w:hAnsi="Calibri" w:cs="Calibri"/>
          <w:color w:val="000000"/>
          <w:szCs w:val="24"/>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Démocratie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pPr>
        <w:spacing w:after="0" w:line="240" w:lineRule="auto"/>
        <w:jc w:val="both"/>
        <w:rPr>
          <w:rFonts w:ascii="Calibri" w:eastAsia="Times New Roman" w:hAnsi="Calibri" w:cs="Calibri"/>
          <w:color w:val="000000"/>
          <w:szCs w:val="27"/>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Ouverture et démarche scientifique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Il développe le goût des élèves et des étudiants à rechercher la vérité avec une constante honnêteté intellectuelle, toute de rigueur, d’objectivité, de rationalité et de tolérance.</w:t>
      </w: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Respect et neutralité</w:t>
      </w:r>
    </w:p>
    <w:p>
      <w:pPr>
        <w:shd w:val="clear" w:color="auto" w:fill="FFFFFF"/>
        <w:spacing w:after="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pPr>
        <w:shd w:val="clear" w:color="auto" w:fill="FFFFFF"/>
        <w:spacing w:after="0" w:line="240" w:lineRule="auto"/>
        <w:jc w:val="both"/>
        <w:rPr>
          <w:rFonts w:ascii="Calibri" w:eastAsia="Times New Roman" w:hAnsi="Calibri" w:cs="Calibri"/>
          <w:b/>
          <w:bCs/>
          <w:i/>
          <w:color w:val="000000"/>
          <w:szCs w:val="27"/>
          <w:lang w:eastAsia="fr-BE"/>
        </w:rPr>
      </w:pP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Emancipation sociale</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eastAsia="Times New Roman" w:cs="Calibri"/>
          <w:color w:val="000000"/>
          <w:szCs w:val="27"/>
          <w:lang w:eastAsia="fr-BE"/>
        </w:rPr>
        <w:tab/>
      </w:r>
      <w:r>
        <w:rPr>
          <w:rFonts w:eastAsia="Times New Roman" w:cs="Calibri"/>
          <w:color w:val="000000"/>
          <w:szCs w:val="27"/>
          <w:lang w:eastAsia="fr-BE"/>
        </w:rPr>
        <w:br/>
        <w:t>Actif face aux inégalités sociales, WBE soutient les moins favorisés afin qu’aucun choix ne leur soit interdit pour des raisons liées à leur milieu d’origine.</w:t>
      </w:r>
      <w:r>
        <w:rPr>
          <w:rFonts w:eastAsia="Times New Roman" w:cs="Calibri"/>
          <w:color w:val="000000"/>
          <w:szCs w:val="27"/>
          <w:lang w:eastAsia="fr-BE"/>
        </w:rPr>
        <w:tab/>
      </w:r>
      <w:r>
        <w:rPr>
          <w:rFonts w:eastAsia="Times New Roman" w:cs="Calibri"/>
          <w:color w:val="000000"/>
          <w:szCs w:val="27"/>
          <w:lang w:eastAsia="fr-BE"/>
        </w:rPr>
        <w:br/>
        <w:t>Confiants en eux, conscients de leurs potentialités, l’élève et l’étudiant construisent leur émancipation intellectuelle, gage de leur émancipation sociale.</w:t>
      </w: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after="0" w:line="240" w:lineRule="auto"/>
        <w:rPr>
          <w:rFonts w:ascii="Calibri" w:eastAsia="Times New Roman" w:hAnsi="Calibri" w:cs="Times New Roman"/>
          <w:color w:val="000000"/>
          <w:lang w:eastAsia="fr-FR"/>
        </w:rPr>
      </w:pPr>
      <w:r>
        <w:br w:type="page"/>
      </w:r>
    </w:p>
    <w:tbl>
      <w:tblPr>
        <w:tblpPr w:leftFromText="141" w:rightFromText="141" w:vertAnchor="text" w:horzAnchor="margin" w:tblpY="-743"/>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pageBreakBefore/>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both"/>
        <w:rPr>
          <w:rFonts w:ascii="Calibri" w:eastAsia="Times New Roman" w:hAnsi="Calibri" w:cs="Times New Roman"/>
          <w:lang w:eastAsia="fr-FR"/>
        </w:rPr>
      </w:pPr>
      <w:r>
        <w:rPr>
          <w:rFonts w:eastAsia="Times New Roman" w:cs="Times New Roman"/>
          <w:lang w:eastAsia="fr-FR"/>
        </w:rPr>
        <w:br/>
        <w:t xml:space="preserve">En tant que </w:t>
      </w:r>
      <w:r>
        <w:rPr>
          <w:rFonts w:eastAsia="Times New Roman" w:cs="Times New Roman"/>
          <w:b/>
          <w:lang w:eastAsia="fr-FR"/>
        </w:rPr>
        <w:t>Directeur (H/F/X)</w:t>
      </w:r>
      <w:r>
        <w:rPr>
          <w:rFonts w:eastAsia="Times New Roman" w:cs="Times New Roman"/>
          <w:lang w:eastAsia="fr-FR"/>
        </w:rPr>
        <w:t xml:space="preserve">, vous pouvez être amené(e) à : </w:t>
      </w:r>
      <w:r>
        <w:rPr>
          <w:rFonts w:eastAsia="Times New Roman" w:cs="Times New Roman"/>
          <w:lang w:eastAsia="fr-FR"/>
        </w:rPr>
        <w:tab/>
      </w:r>
      <w:r>
        <w:rPr>
          <w:rFonts w:eastAsia="Times New Roman" w:cs="Times New Roman"/>
          <w:lang w:eastAsia="fr-FR"/>
        </w:rPr>
        <w:br/>
      </w: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La production de sens</w:t>
      </w:r>
    </w:p>
    <w:p>
      <w:pPr>
        <w:shd w:val="clear" w:color="auto" w:fill="FFFFFF"/>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pPr>
      <w:r>
        <w:rPr>
          <w:rFonts w:eastAsia="Times New Roman" w:cs="Calibri"/>
          <w:bCs/>
          <w:lang w:eastAsia="fr-FR"/>
        </w:rPr>
        <w:t>Expliciter régulièrement aux acteurs de l’école sur quelles valeurs se fonde l’action pédagogique et éducative, développée au service des élèves, dans le cadre du projet du pouvoir organisateur. Donner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eastAsia="Times New Roman" w:cs="Calibri"/>
          <w:b/>
          <w:bCs/>
          <w:lang w:eastAsia="fr-FR"/>
        </w:rPr>
        <w:t>.</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Incarner les valeurs fondant l’action pédagogique et éducative prônée par WBE, les finalités et les objectifs visés dans l’école.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Confronter régulièrement les processus et les résultats de l’action aux valeurs, aux finalités et aux objectifs annoncés. </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ascii="Calibri" w:eastAsia="Times New Roman" w:hAnsi="Calibri" w:cs="Calibri"/>
          <w:lang w:eastAsia="fr-BE"/>
        </w:rPr>
      </w:pPr>
      <w:r>
        <w:rPr>
          <w:rFonts w:eastAsia="Times New Roman" w:cs="Calibri"/>
          <w:u w:val="single"/>
          <w:lang w:eastAsia="fr-FR"/>
        </w:rPr>
        <w:t>Responsabilités propres à l’ICA Libramont</w:t>
      </w:r>
      <w:r>
        <w:rPr>
          <w:rFonts w:eastAsia="Times New Roman" w:cs="Calibri"/>
          <w:lang w:eastAsia="fr-FR"/>
        </w:rPr>
        <w:t xml:space="preserve"> : </w:t>
      </w:r>
    </w:p>
    <w:p>
      <w:pPr>
        <w:tabs>
          <w:tab w:val="left" w:pos="1985"/>
        </w:tabs>
        <w:spacing w:after="0" w:line="240" w:lineRule="auto"/>
        <w:ind w:left="-70"/>
        <w:jc w:val="both"/>
        <w:rPr>
          <w:rFonts w:ascii="Calibri" w:eastAsia="Times New Roman" w:hAnsi="Calibri" w:cs="Calibri"/>
          <w:lang w:eastAsia="fr-FR"/>
        </w:rPr>
      </w:pPr>
      <w:r>
        <w:rPr>
          <w:rFonts w:ascii="Calibri" w:eastAsia="Times New Roman" w:hAnsi="Calibri" w:cs="Calibri"/>
          <w:lang w:eastAsia="fr-FR"/>
        </w:rPr>
        <w:t>Créer une identité commune aux trois sites en travaillant sur le sentiment d’appartenance.</w:t>
      </w:r>
    </w:p>
    <w:p>
      <w:pPr>
        <w:tabs>
          <w:tab w:val="left" w:pos="1985"/>
        </w:tabs>
        <w:spacing w:after="0" w:line="240" w:lineRule="auto"/>
        <w:ind w:left="-70"/>
        <w:jc w:val="both"/>
        <w:rPr>
          <w:rFonts w:ascii="Calibri" w:eastAsia="Times New Roman" w:hAnsi="Calibri" w:cs="Calibri"/>
          <w:lang w:eastAsia="fr-FR"/>
        </w:rPr>
      </w:pPr>
      <w:r>
        <w:rPr>
          <w:rFonts w:ascii="Calibri" w:eastAsia="Times New Roman" w:hAnsi="Calibri" w:cs="Calibri"/>
          <w:lang w:eastAsia="fr-FR"/>
        </w:rPr>
        <w:t xml:space="preserve">Permettre la valorisation de toutes les sections et accorder un intérêt égal aux élèves engagés dans les différentes formations. </w:t>
      </w:r>
    </w:p>
    <w:p>
      <w:pPr>
        <w:tabs>
          <w:tab w:val="left" w:pos="1985"/>
        </w:tabs>
        <w:spacing w:after="0" w:line="240" w:lineRule="auto"/>
        <w:ind w:left="-70"/>
        <w:jc w:val="both"/>
        <w:rPr>
          <w:rFonts w:ascii="Calibri" w:eastAsia="Times New Roman" w:hAnsi="Calibri" w:cs="Calibri"/>
          <w:lang w:eastAsia="fr-FR"/>
        </w:rPr>
      </w:pP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Le pilotage stratégique et opérationnel global de l’école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être le garant des projets éducatif et pédagogique du pouvoir organisateur, définis dans le respect des finalités et des missions prioritaires et particulières du système éducatif de la Communauté française.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en tant que leader pédagogique et éducatif, piloter la co-construction du projet d’école et du plan de pilotage de l’école, en menant à bien le processus de contractualisation y afférent ainsi que la mise en œuvre collective du contrat d’objectifs (ou le cas échéant, le protocole de collaboration).</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pPr>
      <w:r>
        <w:rPr>
          <w:rFonts w:eastAsia="Times New Roman" w:cs="Calibri"/>
          <w:bCs/>
          <w:lang w:eastAsia="fr-FR"/>
        </w:rPr>
        <w:t>Jouer un rôle d’interface entre le Pouvoir organisateur et l’ensemble des acteurs de l’école.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les acteurs de l’école, à la co-construction de la culture d’école et/ou la développer en cohérence avec les valeurs du système éducatif et celles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Endosser le rôle de leader pédagogique et éducatif dans tout processus décisionnel.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Favoriser une réflexion stratégique et prospective sur le devenir de l’école.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Faire de l’école une organisation apprenante et y encourager l’innovation, notamment didactique et pédagogique.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Le directeur veille, le cas échéant, à la bonne organisation des organes locaux de concertation sociale légaux et conventionnels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Responsabilités propres à l’ICA Libramont :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Rendre attractif l’ICA Libramont dans un contexte de concurrence des écoles à caractère confessionnel de la région.</w:t>
      </w:r>
    </w:p>
    <w:p>
      <w:pPr>
        <w:tabs>
          <w:tab w:val="left" w:pos="1985"/>
        </w:tabs>
        <w:spacing w:after="0" w:line="240" w:lineRule="auto"/>
        <w:ind w:left="-70"/>
        <w:jc w:val="both"/>
        <w:rPr>
          <w:rFonts w:eastAsia="Times New Roman" w:cs="Calibri"/>
          <w:lang w:eastAsia="fr-FR"/>
        </w:rPr>
      </w:pPr>
      <w:r>
        <w:rPr>
          <w:rFonts w:eastAsia="Times New Roman" w:cs="Calibri"/>
          <w:lang w:eastAsia="fr-FR"/>
        </w:rPr>
        <w:t>Instaurer une saine collaboration avec la direction de l’école fondamentale annexée, l’internat annexé, le CEFA et le CTA.</w:t>
      </w:r>
    </w:p>
    <w:tbl>
      <w:tblPr>
        <w:tblpPr w:leftFromText="141" w:rightFromText="141" w:vertAnchor="text" w:horzAnchor="margin" w:tblpY="-1273"/>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Entretenir de bonnes relations avec le monde de l’entreprise pour les stages, le centre de compétence Wallonie Bois, avec la Haute Ecole Robert Schuman, avec les administrations communale et provinciale et avec l’enseignement de promotion sociale que l’ICA Libramont héberge.</w:t>
      </w: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Le pilotage des actions et des projets pédagogiques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soutien et l’accompagnement du parcours scolaire de chacun des élèves et leur orientation positive.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S’assurer de l’adéquation entre les méthodes pédagogiques de l’équipe éducative et les caractéristiques de la population scolaire et les spécificités de la matière/contenu.</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la pertinence des méthodes pédagogiques employées au regard des résultats engrangés.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Favoriser un leadership pédagogique partagé.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pilotage pédagogique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leadership pédagogique partagé, contrôler l’avancement, suivre régulièrement la progression des résultats des missions déléguées et si nécessaire ajuster de manière adéquate et cohérente en fonction des objectifs à atteindre.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pilotage pédagogique de l’établissement, opérer les réajustements nécessaires  à partir d’évaluations menées sur base des indicateurs retenus. </w:t>
      </w:r>
    </w:p>
    <w:p>
      <w:pPr>
        <w:tabs>
          <w:tab w:val="left" w:pos="1985"/>
        </w:tabs>
        <w:spacing w:after="0" w:line="240" w:lineRule="auto"/>
        <w:ind w:left="-70"/>
        <w:jc w:val="both"/>
      </w:pPr>
      <w:r>
        <w:rPr>
          <w:rFonts w:eastAsia="Times New Roman" w:cs="Calibri"/>
          <w:bCs/>
          <w:lang w:eastAsia="fr-FR"/>
        </w:rPr>
        <w:t>Favoriser la collaboration de l’équipe éducative avec le Centre psycho-médico-social.</w:t>
      </w:r>
    </w:p>
    <w:p>
      <w:pPr>
        <w:tabs>
          <w:tab w:val="left" w:pos="1985"/>
        </w:tabs>
        <w:spacing w:after="0" w:line="240" w:lineRule="auto"/>
        <w:ind w:left="-70"/>
        <w:jc w:val="both"/>
      </w:pPr>
      <w:r>
        <w:rPr>
          <w:rFonts w:eastAsia="Times New Roman" w:cs="Calibri"/>
          <w:bCs/>
          <w:lang w:eastAsia="fr-FR"/>
        </w:rPr>
        <w:t>Développer des collaborations et des partenariats externes à l’école, notamment avec d’autres écoles.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Coopérer avec les acteurs et les instances institués par la Communauté française et son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Représenter le Pouvoir organisateur auprès des services du Gouvernement et du service général de l’Inspection.</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Inscrire l’action de son école dans le cadre de la politique collective de la zone.</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Responsabilités propres à l’ICA Libramont : </w:t>
      </w:r>
    </w:p>
    <w:p>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Instaurer une réflexion à moyen terme et long terme sur les programmations des options du qualifiant afin d’anticiper les besoins.</w:t>
      </w:r>
    </w:p>
    <w:p>
      <w:pPr>
        <w:tabs>
          <w:tab w:val="left" w:pos="1985"/>
        </w:tabs>
        <w:spacing w:after="0" w:line="240" w:lineRule="auto"/>
        <w:ind w:left="-70"/>
        <w:jc w:val="both"/>
      </w:pPr>
      <w:r>
        <w:t xml:space="preserve">Mettre en évidence les différentes options de base groupées afin d’en garantir l’attractivité.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 </w:t>
      </w: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gestion des ressources et des relations humaines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développer avec l’équipe éducative une dynamique collective et soutenir le travail collaboratif dans une visée de partage de pratiques et d’organisation apprenante.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Collaborer avec le pouvoir organisateur pour construire une équipe éducative centrée sur l’élève, son développement et ses apprentissages.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Soutenir le développement professionnel des membres du personnel.</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Accompagner les équipes éducatives dans le changement et les innovations qu’elles mettent en œuvre.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Veiller à l’accueil et à l’intégration des nouveaux membres du personnel ainsi qu’à l’accompagnement des membres du personnel en difficulté.</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Être le représentant du pouvoir organisateur auprès des Services du Gouvernement.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Pouvoir nouer des contacts avec le monde économique et socioculturel local de même qu’avec des organismes de protection de la jeunesse, d’aide à l’enfance et d’aide à la jeunesse.</w:t>
      </w:r>
    </w:p>
    <w:tbl>
      <w:tblPr>
        <w:tblpPr w:leftFromText="141" w:rightFromText="141" w:vertAnchor="text" w:horzAnchor="margin" w:tblpY="-954"/>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 Pouvoir organisateur aux procédures de recrutement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les membres du personnel et en rendre compte au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soutien au développement professionnel, individuel et collectif des membres du personnel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construire avec eux un plan de formation collectif pour l’établissement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motiver et les accompagner (en particulier les enseignants débutants) ;</w:t>
      </w:r>
    </w:p>
    <w:p>
      <w:pPr>
        <w:numPr>
          <w:ilvl w:val="0"/>
          <w:numId w:val="2"/>
        </w:numPr>
        <w:tabs>
          <w:tab w:val="left" w:pos="1985"/>
        </w:tabs>
        <w:spacing w:after="0" w:line="240" w:lineRule="auto"/>
        <w:contextualSpacing/>
        <w:jc w:val="both"/>
      </w:pPr>
      <w:r>
        <w:rPr>
          <w:rFonts w:eastAsia="Times New Roman" w:cs="Calibri"/>
          <w:bCs/>
          <w:lang w:eastAsia="fr-FR"/>
        </w:rPr>
        <w:t>mener avec eux des entretiens de fonctionnement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aider à clarifier le sens de leur action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participer à l’identification de leurs besoins de formation et leur faciliter l’accès à la formation en cours de carrière dans le cadre du plan de formation de l’école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valoriser l’expertise des membres du personnel ;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soutenir leurs actions tant à l’intérieur qu’à l’extérieur de l’école ;</w:t>
      </w:r>
    </w:p>
    <w:p>
      <w:pPr>
        <w:tabs>
          <w:tab w:val="left" w:pos="1985"/>
        </w:tabs>
        <w:spacing w:after="0" w:line="240" w:lineRule="auto"/>
        <w:ind w:left="-70"/>
        <w:contextualSpacing/>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Permettre aux membres du personnel l’expérimentation de nouvelles pratiques professionnelles, dans le respect du projet pédagogique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Stimuler l’esprit d’équipe.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Constituer dans l’école une équipe de direction et l’animer.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Mettre en place une dynamique collaborative favorisant le partage, la concertation, et la construction collective.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Renforcer la démocratie scolaire en impliquant tous les acteurs de l’école et en promouvant le vivre ensemble.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Développer dans l’école les conditions d’un climat relationnel positif et du respect mutuel.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les relations de l’école avec les élèves, les parents et les tiers, et dans ce cadre, développer l’accueil et le dialogue.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une application juste et humaine aux élèves du règlement d’ordre intérieur et des éventuelles sanctions disciplinaires.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Prévenir et gérer les conflits, en faisant appel, le cas échéant, à des ressources externes.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Veiller au respect du statut des membres du personnel et du règlement de travail.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lang w:eastAsia="fr-BE"/>
        </w:rPr>
      </w:pPr>
      <w:r>
        <w:rPr>
          <w:rFonts w:eastAsia="Times New Roman" w:cs="Calibri"/>
          <w:u w:val="single"/>
          <w:lang w:eastAsia="fr-FR"/>
        </w:rPr>
        <w:t>Responsabilités propres à l’ICA Libramont</w:t>
      </w:r>
      <w:r>
        <w:rPr>
          <w:rFonts w:eastAsia="Times New Roman" w:cs="Calibri"/>
          <w:lang w:eastAsia="fr-FR"/>
        </w:rPr>
        <w:t xml:space="preserve"> : </w:t>
      </w: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t xml:space="preserve">Renforcer une culture d’école commune aux trois implantations. </w:t>
      </w: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communication interne et externe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Recueillir, analyser, intégrer et faire circuler l’information en la reformulant de manière adaptée et au moyen des dispositifs adéquats à l’attention, respectivement, du Pouvoir organisateur, des membres du personnel, des élèves, des parents et des agents du Centre psycho-médico-social et en tant qu’interface, avec les partenaires et interlocuteurs extérieurs.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Gérer la communication extérieure de l’établissement, en ce compris les relations avec les médias, dans la limite des délégations qui ont été données.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Construire des dispositifs de communication entre les acteurs de l’école  et avec les partenaires de l’école.</w:t>
      </w:r>
    </w:p>
    <w:p>
      <w:pPr>
        <w:tabs>
          <w:tab w:val="left" w:pos="1985"/>
        </w:tabs>
        <w:spacing w:after="0" w:line="240" w:lineRule="auto"/>
        <w:ind w:left="-70"/>
        <w:jc w:val="both"/>
        <w:rPr>
          <w:rFonts w:ascii="Calibri" w:eastAsia="Times New Roman" w:hAnsi="Calibri" w:cs="Calibri"/>
          <w:bCs/>
          <w:i/>
          <w:sz w:val="24"/>
          <w:highlight w:val="red"/>
          <w:lang w:eastAsia="fr-FR"/>
        </w:rPr>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Responsabilités propres à l’ICA Libramont : </w:t>
      </w:r>
    </w:p>
    <w:p>
      <w:pPr>
        <w:tabs>
          <w:tab w:val="left" w:pos="1985"/>
        </w:tabs>
        <w:spacing w:after="0" w:line="240" w:lineRule="auto"/>
        <w:ind w:left="-70"/>
        <w:jc w:val="both"/>
        <w:rPr>
          <w:rFonts w:eastAsia="Times New Roman" w:cs="Calibri"/>
          <w:highlight w:val="green"/>
          <w:lang w:eastAsia="fr-FR"/>
        </w:rPr>
      </w:pPr>
      <w:r>
        <w:rPr>
          <w:rFonts w:eastAsia="Times New Roman" w:cs="Calibri"/>
          <w:lang w:eastAsia="fr-FR"/>
        </w:rPr>
        <w:t xml:space="preserve">Renforcer les relations avec le monde de l’entreprise pour optimiser l’accueil des stagiaires, en particulier dans le secteur hospitalier. </w:t>
      </w:r>
    </w:p>
    <w:p>
      <w:pPr>
        <w:tabs>
          <w:tab w:val="left" w:pos="1985"/>
        </w:tabs>
        <w:spacing w:after="0" w:line="240" w:lineRule="auto"/>
        <w:ind w:left="-70"/>
        <w:jc w:val="both"/>
        <w:rPr>
          <w:rFonts w:eastAsia="Times New Roman" w:cs="Calibri"/>
          <w:highlight w:val="green"/>
          <w:lang w:eastAsia="fr-FR"/>
        </w:rPr>
      </w:pPr>
    </w:p>
    <w:p>
      <w:pPr>
        <w:tabs>
          <w:tab w:val="left" w:pos="1985"/>
        </w:tabs>
        <w:spacing w:after="0" w:line="240" w:lineRule="auto"/>
        <w:ind w:left="-70"/>
        <w:jc w:val="both"/>
        <w:rPr>
          <w:rFonts w:ascii="Calibri" w:eastAsia="Times New Roman" w:hAnsi="Calibri" w:cs="Calibri"/>
          <w:bCs/>
          <w:i/>
          <w:sz w:val="24"/>
          <w:highlight w:val="red"/>
          <w:lang w:eastAsia="fr-FR"/>
        </w:rPr>
      </w:pPr>
    </w:p>
    <w:p>
      <w:pPr>
        <w:tabs>
          <w:tab w:val="left" w:pos="1985"/>
        </w:tabs>
        <w:spacing w:after="0" w:line="240" w:lineRule="auto"/>
        <w:ind w:left="-70"/>
        <w:jc w:val="both"/>
        <w:rPr>
          <w:rFonts w:ascii="Calibri" w:eastAsia="Times New Roman" w:hAnsi="Calibri" w:cs="Calibri"/>
          <w:bCs/>
          <w:i/>
          <w:sz w:val="24"/>
          <w:highlight w:val="red"/>
          <w:lang w:eastAsia="fr-FR"/>
        </w:rPr>
      </w:pPr>
    </w:p>
    <w:tbl>
      <w:tblPr>
        <w:tblpPr w:leftFromText="141" w:rightFromText="141" w:vertAnchor="text" w:horzAnchor="margin" w:tblpY="-835"/>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shd w:val="clear" w:color="auto" w:fill="F4AA00"/>
        <w:tabs>
          <w:tab w:val="left" w:pos="1985"/>
        </w:tabs>
        <w:spacing w:after="0" w:line="240" w:lineRule="auto"/>
        <w:ind w:left="-70"/>
        <w:jc w:val="center"/>
        <w:rPr>
          <w:rFonts w:ascii="Calibri" w:eastAsia="Times New Roman" w:hAnsi="Calibri" w:cs="Calibri"/>
          <w:bCs/>
          <w:i/>
          <w:sz w:val="28"/>
          <w:highlight w:val="red"/>
          <w:lang w:eastAsia="fr-FR"/>
        </w:rPr>
      </w:pPr>
      <w:r>
        <w:rPr>
          <w:rFonts w:eastAsia="Times New Roman" w:cs="Calibri"/>
          <w:bCs/>
          <w:i/>
          <w:sz w:val="28"/>
          <w:shd w:val="clear" w:color="auto" w:fill="F4AA00"/>
          <w:lang w:eastAsia="fr-FR"/>
        </w:rPr>
        <w:t>La gestion administrative, financière et matérielle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Garantir le respect des dispositions légales et réglementaires.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la gestion du budget pour lequel délégation a été donnée, en vue de parvenir à un fonctionnement optimal de l’école et à la réalisation de ses objectifs.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Objectiver les besoins de l’école en infrastructures et en équipements pédagogiques, techniques et informatiques nécessaires à son fonctionnement et en informer le pouvoir organisateur.</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Assurer la gestion et l’entretien des bâtiments, des infrastructures et des équipements scolaires, pour lesquels délégation a été donnée, y compris en matière de sécurité,  d'hygiène et de bien-être au travail.</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eastAsia="Times New Roman" w:cs="Calibri"/>
          <w:bCs/>
          <w:i/>
          <w:sz w:val="28"/>
          <w:shd w:val="clear" w:color="auto" w:fill="F4AA00"/>
          <w:lang w:eastAsia="fr-FR"/>
        </w:rPr>
      </w:pPr>
      <w:r>
        <w:rPr>
          <w:rFonts w:eastAsia="Times New Roman" w:cs="Calibri"/>
          <w:bCs/>
          <w:i/>
          <w:sz w:val="28"/>
          <w:shd w:val="clear" w:color="auto" w:fill="F4AA00"/>
          <w:lang w:eastAsia="fr-FR"/>
        </w:rPr>
        <w:t>La planification et la gestion active de son propre développement professionnel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S’enrichir continument de nouvelles idées, compétences et connaissances.</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 xml:space="preserve">Avoir des entretiens de fonctionnement réguliers avec le pouvoir organisateur ou les délégués de celui-ci, en référence à la lettre de mission et à l’auto-évaluation. </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S’inscrire dans une démarche de formation continuée.</w:t>
      </w:r>
    </w:p>
    <w:p>
      <w:pPr>
        <w:tabs>
          <w:tab w:val="left" w:pos="1985"/>
        </w:tabs>
        <w:spacing w:after="0" w:line="240" w:lineRule="auto"/>
        <w:ind w:left="-70"/>
        <w:jc w:val="both"/>
        <w:rPr>
          <w:rFonts w:eastAsia="Times New Roman" w:cs="Calibri"/>
          <w:lang w:eastAsia="fr-FR"/>
        </w:rPr>
      </w:pPr>
      <w:r>
        <w:rPr>
          <w:rFonts w:eastAsia="Times New Roman" w:cs="Calibri"/>
          <w:lang w:eastAsia="fr-FR"/>
        </w:rPr>
        <w:t>Autoévaluer régulièrement son fonctionnement professionnel et en tirer de nouvelles lignes d’action ou de comportement.</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center"/>
        <w:rPr>
          <w:rFonts w:ascii="Calibri" w:eastAsia="Times New Roman" w:hAnsi="Calibri" w:cs="Times New Roman"/>
          <w:lang w:eastAsia="fr-FR"/>
        </w:rPr>
      </w:pPr>
      <w:r>
        <w:rPr>
          <w:rFonts w:eastAsia="Times New Roman" w:cs="Times New Roman"/>
          <w:szCs w:val="24"/>
          <w:lang w:eastAsia="fr-FR"/>
        </w:rPr>
        <w:t>Cette liste des tâches n’est pas exhaustive.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spacing w:after="0" w:line="240" w:lineRule="auto"/>
        <w:rPr>
          <w:rFonts w:ascii="Calibri" w:eastAsia="Times New Roman" w:hAnsi="Calibri" w:cs="Times New Roman"/>
          <w:lang w:eastAsia="fr-FR"/>
        </w:rPr>
      </w:pPr>
    </w:p>
    <w:p>
      <w:pPr>
        <w:spacing w:after="0" w:line="240" w:lineRule="auto"/>
        <w:rPr>
          <w:rFonts w:ascii="Calibri" w:eastAsia="Times New Roman" w:hAnsi="Calibri" w:cs="Times New Roman"/>
          <w:lang w:eastAsia="fr-FR"/>
        </w:rPr>
      </w:pPr>
    </w:p>
    <w:tbl>
      <w:tblPr>
        <w:tblpPr w:leftFromText="141" w:rightFromText="141" w:vertAnchor="text" w:horzAnchor="margin" w:tblpY="-86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pPr>
            <w:r>
              <w:rPr>
                <w:rFonts w:eastAsia="Times New Roman" w:cs="Times New Roman"/>
                <w:b/>
                <w:color w:val="FFFFFF"/>
                <w:sz w:val="20"/>
                <w:szCs w:val="20"/>
                <w:lang w:eastAsia="fr-FR"/>
              </w:rPr>
              <w:t>Profil de compétence</w:t>
            </w:r>
          </w:p>
        </w:tc>
      </w:tr>
    </w:tbl>
    <w:p>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XSpec="center" w:tblpY="234"/>
        <w:tblW w:w="9776" w:type="dxa"/>
        <w:jc w:val="center"/>
        <w:tblCellMar>
          <w:left w:w="70" w:type="dxa"/>
          <w:right w:w="70" w:type="dxa"/>
        </w:tblCellMar>
        <w:tblLook w:val="0000" w:firstRow="0" w:lastRow="0" w:firstColumn="0" w:lastColumn="0" w:noHBand="0" w:noVBand="0"/>
      </w:tblPr>
      <w:tblGrid>
        <w:gridCol w:w="8216"/>
        <w:gridCol w:w="710"/>
        <w:gridCol w:w="850"/>
      </w:tblGrid>
      <w:tr>
        <w:trPr>
          <w:trHeight w:val="586"/>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r>
              <w:rPr>
                <w:rFonts w:eastAsia="Times New Roman" w:cs="Times New Roman"/>
                <w:b/>
                <w:sz w:val="24"/>
                <w:szCs w:val="20"/>
                <w:lang w:eastAsia="fr-FR"/>
              </w:rPr>
              <w:t>Compétences Techniques</w:t>
            </w:r>
            <w:bookmarkStart w:id="15" w:name="__UnoMark__745_2749759877"/>
            <w:bookmarkEnd w:id="15"/>
          </w:p>
        </w:tc>
      </w:tr>
      <w:tr>
        <w:trPr>
          <w:trHeight w:val="531"/>
          <w:jc w:val="center"/>
        </w:trPr>
        <w:tc>
          <w:tcPr>
            <w:tcW w:w="8216" w:type="dxa"/>
            <w:vMerge w:val="restart"/>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pPr>
            <w:bookmarkStart w:id="16" w:name="__UnoMark__746_2749759877"/>
            <w:bookmarkEnd w:id="16"/>
            <w:r>
              <w:rPr>
                <w:rFonts w:eastAsia="Times New Roman" w:cs="Times New Roman"/>
                <w:b/>
                <w:color w:val="000000"/>
                <w:lang w:eastAsia="fr-FR"/>
              </w:rPr>
              <w:t xml:space="preserve">Niveaux de maitrise </w:t>
            </w:r>
          </w:p>
          <w:p>
            <w:pPr>
              <w:numPr>
                <w:ilvl w:val="0"/>
                <w:numId w:val="1"/>
              </w:numPr>
              <w:tabs>
                <w:tab w:val="left" w:pos="1985"/>
              </w:tabs>
              <w:spacing w:after="0" w:line="240" w:lineRule="auto"/>
              <w:contextualSpacing/>
            </w:pPr>
            <w:r>
              <w:rPr>
                <w:rFonts w:eastAsia="Times New Roman" w:cs="Times New Roman"/>
                <w:b/>
                <w:color w:val="000000"/>
                <w:lang w:eastAsia="fr-FR"/>
              </w:rPr>
              <w:t>Aptitude à acquérir la compétence -&gt; avoir des notions théoriques</w:t>
            </w:r>
          </w:p>
          <w:p>
            <w:pPr>
              <w:numPr>
                <w:ilvl w:val="0"/>
                <w:numId w:val="1"/>
              </w:numPr>
              <w:tabs>
                <w:tab w:val="left" w:pos="1985"/>
              </w:tabs>
              <w:spacing w:after="0" w:line="240" w:lineRule="auto"/>
              <w:contextualSpacing/>
            </w:pPr>
            <w:r>
              <w:rPr>
                <w:rFonts w:eastAsia="Times New Roman" w:cs="Times New Roman"/>
                <w:b/>
                <w:color w:val="000000"/>
                <w:lang w:eastAsia="fr-FR"/>
              </w:rPr>
              <w:t>Élémentaire -&gt; agir de façon réactive</w:t>
            </w:r>
          </w:p>
          <w:p>
            <w:pPr>
              <w:numPr>
                <w:ilvl w:val="0"/>
                <w:numId w:val="1"/>
              </w:numPr>
              <w:tabs>
                <w:tab w:val="left" w:pos="1985"/>
              </w:tabs>
              <w:spacing w:after="0" w:line="240" w:lineRule="auto"/>
              <w:contextualSpacing/>
            </w:pPr>
            <w:r>
              <w:rPr>
                <w:rFonts w:eastAsia="Times New Roman" w:cs="Times New Roman"/>
                <w:b/>
                <w:color w:val="000000"/>
                <w:lang w:eastAsia="fr-FR"/>
              </w:rPr>
              <w:t>Intermédiaire -&gt; agir de façon autonome</w:t>
            </w:r>
          </w:p>
          <w:p>
            <w:pPr>
              <w:numPr>
                <w:ilvl w:val="0"/>
                <w:numId w:val="1"/>
              </w:numPr>
              <w:tabs>
                <w:tab w:val="left" w:pos="1985"/>
              </w:tabs>
              <w:spacing w:after="0" w:line="240" w:lineRule="auto"/>
              <w:contextualSpacing/>
            </w:pPr>
            <w:r>
              <w:rPr>
                <w:rFonts w:eastAsia="Times New Roman" w:cs="Times New Roman"/>
                <w:b/>
                <w:color w:val="000000"/>
                <w:lang w:eastAsia="fr-FR"/>
              </w:rPr>
              <w:t>Avancé -&gt; agir avec excellence</w:t>
            </w:r>
            <w:r>
              <w:rPr>
                <w:rFonts w:eastAsia="Times New Roman" w:cs="Times New Roman"/>
                <w:b/>
                <w:color w:val="000000"/>
                <w:lang w:eastAsia="fr-FR"/>
              </w:rPr>
              <w:br/>
            </w:r>
            <w:bookmarkStart w:id="17" w:name="__UnoMark__747_2749759877"/>
            <w:bookmarkEnd w:id="17"/>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8" w:name="__UnoMark__748_2749759877"/>
            <w:bookmarkEnd w:id="18"/>
            <w:r>
              <w:rPr>
                <w:rFonts w:eastAsia="Times New Roman" w:cs="Calibri"/>
                <w:lang w:eastAsia="fr-FR"/>
              </w:rPr>
              <w:t xml:space="preserve">Niveau  </w:t>
            </w:r>
          </w:p>
          <w:p>
            <w:pPr>
              <w:tabs>
                <w:tab w:val="left" w:pos="1985"/>
              </w:tabs>
              <w:spacing w:after="0" w:line="240" w:lineRule="auto"/>
              <w:jc w:val="center"/>
            </w:pPr>
            <w:r>
              <w:rPr>
                <w:rFonts w:eastAsia="Times New Roman" w:cs="Calibri"/>
                <w:lang w:eastAsia="fr-FR"/>
              </w:rPr>
              <w:t>attendu</w:t>
            </w:r>
            <w:bookmarkStart w:id="19" w:name="__UnoMark__749_2749759877"/>
            <w:bookmarkEnd w:id="19"/>
            <w:r>
              <w:rPr>
                <w:rFonts w:eastAsia="Times New Roman" w:cs="Calibri"/>
                <w:lang w:eastAsia="fr-FR"/>
              </w:rPr>
              <w:t> :</w:t>
            </w:r>
          </w:p>
        </w:tc>
      </w:tr>
      <w:tr>
        <w:trPr>
          <w:trHeight w:val="846"/>
          <w:jc w:val="center"/>
        </w:trPr>
        <w:tc>
          <w:tcPr>
            <w:tcW w:w="8216" w:type="dxa"/>
            <w:vMerge/>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rPr>
                <w:rFonts w:ascii="Calibri" w:eastAsia="Times New Roman" w:hAnsi="Calibri" w:cs="Times New Roman"/>
                <w:b/>
                <w:color w:val="000000"/>
                <w:lang w:eastAsia="fr-FR"/>
              </w:rPr>
            </w:pPr>
            <w:bookmarkStart w:id="20" w:name="__UnoMark__751_2749759877"/>
            <w:bookmarkStart w:id="21" w:name="__UnoMark__750_2749759877"/>
            <w:bookmarkEnd w:id="20"/>
            <w:bookmarkEnd w:id="21"/>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2" w:name="__UnoMark__752_2749759877"/>
            <w:bookmarkEnd w:id="22"/>
            <w:r>
              <w:rPr>
                <w:rFonts w:eastAsia="Times New Roman" w:cs="Calibri"/>
                <w:lang w:eastAsia="fr-FR"/>
              </w:rPr>
              <w:t>En jury</w:t>
            </w:r>
            <w:bookmarkStart w:id="23" w:name="__UnoMark__753_2749759877"/>
            <w:bookmarkEnd w:id="23"/>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4" w:name="__UnoMark__754_2749759877"/>
            <w:bookmarkStart w:id="25" w:name="__UnoMark__755_2749759877"/>
            <w:bookmarkEnd w:id="24"/>
            <w:bookmarkEnd w:id="25"/>
            <w:r>
              <w:rPr>
                <w:rFonts w:eastAsia="Times New Roman" w:cs="Calibri"/>
                <w:lang w:eastAsia="fr-FR"/>
              </w:rPr>
              <w:t>À terme</w:t>
            </w:r>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26" w:name="__UnoMark__756_2749759877"/>
            <w:bookmarkEnd w:id="26"/>
            <w:r>
              <w:rPr>
                <w:rFonts w:eastAsia="Times New Roman" w:cs="Times New Roman"/>
                <w:b/>
                <w:lang w:eastAsia="fr-FR"/>
              </w:rPr>
              <w:t>Réglementation</w:t>
            </w:r>
            <w:bookmarkStart w:id="27" w:name="__UnoMark__757_2749759877"/>
            <w:bookmarkEnd w:id="2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28" w:name="__UnoMark__758_2749759877"/>
            <w:bookmarkEnd w:id="28"/>
            <w:r>
              <w:rPr>
                <w:rFonts w:eastAsia="Times New Roman" w:cs="Times New Roman"/>
                <w:lang w:eastAsia="fr-FR"/>
              </w:rPr>
              <w:t xml:space="preserve">Avoir la capacité de lire et comprendre un texte juridique. </w:t>
            </w:r>
            <w:bookmarkStart w:id="29" w:name="__UnoMark__759_2749759877"/>
            <w:bookmarkEnd w:id="29"/>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0" w:name="__UnoMark__760_2749759877"/>
            <w:bookmarkEnd w:id="30"/>
            <w:r>
              <w:rPr>
                <w:rFonts w:eastAsia="Times New Roman" w:cs="Calibri"/>
                <w:lang w:eastAsia="fr-FR"/>
              </w:rPr>
              <w:t xml:space="preserve">B </w:t>
            </w:r>
            <w:bookmarkStart w:id="31" w:name="__UnoMark__761_2749759877"/>
            <w:bookmarkEnd w:id="31"/>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2" w:name="__UnoMark__762_2749759877"/>
            <w:bookmarkEnd w:id="32"/>
            <w:r>
              <w:rPr>
                <w:rFonts w:eastAsia="Times New Roman" w:cs="Calibri"/>
                <w:lang w:eastAsia="fr-FR"/>
              </w:rPr>
              <w:t>C</w:t>
            </w:r>
            <w:bookmarkStart w:id="33" w:name="__UnoMark__763_2749759877"/>
            <w:bookmarkEnd w:id="33"/>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34" w:name="__UnoMark__764_2749759877"/>
            <w:bookmarkEnd w:id="34"/>
            <w:r>
              <w:rPr>
                <w:rFonts w:eastAsia="Times New Roman" w:cs="Calibri"/>
                <w:b/>
                <w:lang w:eastAsia="fr-FR"/>
              </w:rPr>
              <w:t>Pédagogi</w:t>
            </w:r>
            <w:bookmarkStart w:id="35" w:name="__UnoMark__765_2749759877"/>
            <w:bookmarkEnd w:id="35"/>
            <w:r>
              <w:rPr>
                <w:rFonts w:eastAsia="Times New Roman" w:cs="Calibri"/>
                <w:b/>
                <w:lang w:eastAsia="fr-FR"/>
              </w:rPr>
              <w:t>e</w:t>
            </w:r>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36" w:name="__UnoMark__766_2749759877"/>
            <w:bookmarkEnd w:id="36"/>
            <w:r>
              <w:rPr>
                <w:rFonts w:eastAsia="Times New Roman" w:cs="Times New Roman"/>
                <w:lang w:eastAsia="fr-FR"/>
              </w:rPr>
              <w:t>Disposer de compétences pédagogiques et montrer un intérêt pour la recherche en éducation adaptée au niveau d’enseignement concerné.</w:t>
            </w:r>
            <w:bookmarkStart w:id="37" w:name="__UnoMark__767_2749759877"/>
            <w:bookmarkEnd w:id="37"/>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8" w:name="__UnoMark__768_2749759877"/>
            <w:bookmarkEnd w:id="38"/>
            <w:r>
              <w:rPr>
                <w:rFonts w:eastAsia="Times New Roman" w:cs="Calibri"/>
                <w:lang w:eastAsia="fr-FR"/>
              </w:rPr>
              <w:t xml:space="preserve">C </w:t>
            </w:r>
            <w:bookmarkStart w:id="39" w:name="__UnoMark__769_2749759877"/>
            <w:bookmarkEnd w:id="39"/>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0" w:name="__UnoMark__770_2749759877"/>
            <w:bookmarkEnd w:id="40"/>
            <w:r>
              <w:rPr>
                <w:rFonts w:eastAsia="Times New Roman" w:cs="Calibri"/>
                <w:lang w:eastAsia="fr-FR"/>
              </w:rPr>
              <w:t>D</w:t>
            </w:r>
            <w:bookmarkStart w:id="41" w:name="__UnoMark__771_2749759877"/>
            <w:bookmarkEnd w:id="41"/>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42" w:name="__UnoMark__772_2749759877"/>
            <w:bookmarkEnd w:id="42"/>
            <w:r>
              <w:rPr>
                <w:rFonts w:eastAsia="Times New Roman" w:cs="Calibri"/>
                <w:b/>
                <w:lang w:eastAsia="fr-FR"/>
              </w:rPr>
              <w:t>Numérique</w:t>
            </w:r>
            <w:bookmarkStart w:id="43" w:name="__UnoMark__773_2749759877"/>
            <w:bookmarkEnd w:id="43"/>
          </w:p>
        </w:tc>
      </w:tr>
      <w:tr>
        <w:trPr>
          <w:trHeight w:val="78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44" w:name="__UnoMark__774_2749759877"/>
            <w:bookmarkEnd w:id="44"/>
            <w:r>
              <w:rPr>
                <w:rFonts w:eastAsia="Times New Roman" w:cs="Calibri"/>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bookmarkStart w:id="45" w:name="__UnoMark__775_2749759877"/>
            <w:bookmarkEnd w:id="45"/>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6" w:name="__UnoMark__776_2749759877"/>
            <w:bookmarkEnd w:id="46"/>
            <w:r>
              <w:rPr>
                <w:rFonts w:eastAsia="Times New Roman" w:cs="Calibri"/>
                <w:lang w:eastAsia="fr-FR"/>
              </w:rPr>
              <w:t xml:space="preserve">B </w:t>
            </w:r>
            <w:bookmarkStart w:id="47" w:name="__UnoMark__777_2749759877"/>
            <w:bookmarkEnd w:id="47"/>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8" w:name="__UnoMark__778_2749759877"/>
            <w:bookmarkEnd w:id="48"/>
            <w:r>
              <w:rPr>
                <w:rFonts w:eastAsia="Times New Roman" w:cs="Calibri"/>
                <w:lang w:eastAsia="fr-FR"/>
              </w:rPr>
              <w:t>C</w:t>
            </w:r>
            <w:bookmarkStart w:id="49" w:name="__UnoMark__779_2749759877"/>
            <w:bookmarkEnd w:id="49"/>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50" w:name="__UnoMark__780_2749759877"/>
            <w:bookmarkEnd w:id="50"/>
            <w:r>
              <w:rPr>
                <w:rFonts w:eastAsia="Times New Roman" w:cs="Calibri"/>
                <w:b/>
                <w:lang w:eastAsia="fr-FR"/>
              </w:rPr>
              <w:t xml:space="preserve">Méthodologie </w:t>
            </w:r>
            <w:bookmarkStart w:id="51" w:name="__UnoMark__781_2749759877"/>
            <w:bookmarkEnd w:id="51"/>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2" w:name="__UnoMark__782_2749759877"/>
            <w:bookmarkEnd w:id="52"/>
            <w:r>
              <w:rPr>
                <w:rFonts w:eastAsia="Times New Roman" w:cs="Calibri"/>
                <w:lang w:eastAsia="fr-FR"/>
              </w:rPr>
              <w:t>Être capable de gérer des réunions.</w:t>
            </w:r>
            <w:bookmarkStart w:id="53" w:name="__UnoMark__783_2749759877"/>
            <w:bookmarkEnd w:id="53"/>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4" w:name="__UnoMark__784_2749759877"/>
            <w:bookmarkEnd w:id="54"/>
            <w:r>
              <w:rPr>
                <w:rFonts w:eastAsia="Times New Roman" w:cs="Calibri"/>
                <w:lang w:eastAsia="fr-FR"/>
              </w:rPr>
              <w:t xml:space="preserve">C </w:t>
            </w:r>
            <w:bookmarkStart w:id="55" w:name="__UnoMark__785_2749759877"/>
            <w:bookmarkEnd w:id="55"/>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6" w:name="__UnoMark__786_2749759877"/>
            <w:bookmarkEnd w:id="56"/>
            <w:r>
              <w:rPr>
                <w:rFonts w:eastAsia="Times New Roman" w:cs="Calibri"/>
                <w:lang w:eastAsia="fr-FR"/>
              </w:rPr>
              <w:t>D</w:t>
            </w:r>
            <w:bookmarkStart w:id="57" w:name="__UnoMark__787_2749759877"/>
            <w:bookmarkEnd w:id="5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8" w:name="__UnoMark__788_2749759877"/>
            <w:bookmarkEnd w:id="58"/>
            <w:r>
              <w:rPr>
                <w:rFonts w:eastAsia="Times New Roman" w:cs="Calibri"/>
                <w:lang w:eastAsia="fr-FR"/>
              </w:rPr>
              <w:t>Être capable de gérer des conflits.</w:t>
            </w:r>
            <w:bookmarkStart w:id="59" w:name="__UnoMark__789_2749759877"/>
            <w:bookmarkEnd w:id="59"/>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0" w:name="__UnoMark__790_2749759877"/>
            <w:bookmarkEnd w:id="60"/>
            <w:r>
              <w:rPr>
                <w:rFonts w:eastAsia="Times New Roman" w:cs="Calibri"/>
                <w:lang w:eastAsia="fr-FR"/>
              </w:rPr>
              <w:t xml:space="preserve">C </w:t>
            </w:r>
            <w:bookmarkStart w:id="61" w:name="__UnoMark__791_2749759877"/>
            <w:bookmarkEnd w:id="61"/>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2" w:name="__UnoMark__792_2749759877"/>
            <w:bookmarkEnd w:id="62"/>
            <w:r>
              <w:rPr>
                <w:rFonts w:eastAsia="Times New Roman" w:cs="Calibri"/>
                <w:lang w:eastAsia="fr-FR"/>
              </w:rPr>
              <w:t>D</w:t>
            </w:r>
            <w:bookmarkStart w:id="63" w:name="__UnoMark__793_2749759877"/>
            <w:bookmarkEnd w:id="63"/>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64" w:name="__UnoMark__794_2749759877"/>
            <w:bookmarkEnd w:id="64"/>
            <w:r>
              <w:rPr>
                <w:rFonts w:eastAsia="Times New Roman" w:cs="Calibri"/>
                <w:b/>
                <w:lang w:eastAsia="fr-FR"/>
              </w:rPr>
              <w:t>Métier</w:t>
            </w:r>
            <w:bookmarkStart w:id="65" w:name="__UnoMark__795_2749759877"/>
            <w:bookmarkEnd w:id="65"/>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66" w:name="__UnoMark__796_2749759877"/>
            <w:bookmarkStart w:id="67" w:name="__UnoMark__802_2749759877"/>
            <w:bookmarkEnd w:id="66"/>
            <w:bookmarkEnd w:id="67"/>
            <w:r>
              <w:rPr>
                <w:rFonts w:eastAsia="Times New Roman" w:cs="Calibri"/>
                <w:lang w:eastAsia="fr-FR"/>
              </w:rPr>
              <w:t>Avoir des compétences en gestion administrative, financière et matérielle de l’établissement.</w:t>
            </w:r>
            <w:bookmarkStart w:id="68" w:name="__UnoMark__803_2749759877"/>
            <w:bookmarkEnd w:id="68"/>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9" w:name="__UnoMark__804_2749759877"/>
            <w:bookmarkEnd w:id="69"/>
            <w:r>
              <w:rPr>
                <w:rFonts w:eastAsia="Times New Roman" w:cs="Calibri"/>
                <w:lang w:eastAsia="fr-FR"/>
              </w:rPr>
              <w:t>B</w:t>
            </w:r>
            <w:bookmarkStart w:id="70" w:name="__UnoMark__805_2749759877"/>
            <w:bookmarkEnd w:id="70"/>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1" w:name="__UnoMark__806_2749759877"/>
            <w:bookmarkEnd w:id="71"/>
            <w:r>
              <w:rPr>
                <w:rFonts w:eastAsia="Times New Roman" w:cs="Calibri"/>
                <w:lang w:eastAsia="fr-FR"/>
              </w:rPr>
              <w:t>C</w:t>
            </w:r>
            <w:bookmarkStart w:id="72" w:name="__UnoMark__807_2749759877"/>
            <w:bookmarkEnd w:id="72"/>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3" w:name="__UnoMark__808_2749759877"/>
            <w:bookmarkEnd w:id="73"/>
            <w:r>
              <w:rPr>
                <w:rFonts w:eastAsia="Times New Roman" w:cs="Calibri"/>
                <w:lang w:eastAsia="fr-FR"/>
              </w:rPr>
              <w:t>Avoir des compétences de gestion de l’infrastructure de l'école.</w:t>
            </w:r>
            <w:bookmarkStart w:id="74" w:name="__UnoMark__809_2749759877"/>
            <w:bookmarkEnd w:id="74"/>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5" w:name="__UnoMark__810_2749759877"/>
            <w:bookmarkEnd w:id="75"/>
            <w:r>
              <w:rPr>
                <w:rFonts w:eastAsia="Times New Roman" w:cs="Calibri"/>
                <w:lang w:eastAsia="fr-FR"/>
              </w:rPr>
              <w:t xml:space="preserve">B </w:t>
            </w:r>
            <w:bookmarkStart w:id="76" w:name="__UnoMark__811_2749759877"/>
            <w:bookmarkEnd w:id="76"/>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7" w:name="__UnoMark__812_2749759877"/>
            <w:bookmarkEnd w:id="77"/>
            <w:r>
              <w:rPr>
                <w:rFonts w:eastAsia="Times New Roman" w:cs="Calibri"/>
                <w:lang w:eastAsia="fr-FR"/>
              </w:rPr>
              <w:t>C</w:t>
            </w:r>
            <w:bookmarkStart w:id="78" w:name="__UnoMark__813_2749759877"/>
            <w:bookmarkEnd w:id="78"/>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9" w:name="__UnoMark__814_2749759877"/>
            <w:bookmarkEnd w:id="79"/>
            <w:r>
              <w:rPr>
                <w:rFonts w:eastAsia="Times New Roman" w:cs="Calibri"/>
                <w:lang w:eastAsia="fr-FR"/>
              </w:rPr>
              <w:t xml:space="preserve">Avoir des compétences de gestion des ressources financières. </w:t>
            </w:r>
            <w:bookmarkStart w:id="80" w:name="__UnoMark__815_2749759877"/>
            <w:bookmarkEnd w:id="80"/>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1" w:name="__UnoMark__816_2749759877"/>
            <w:bookmarkEnd w:id="81"/>
            <w:r>
              <w:rPr>
                <w:rFonts w:eastAsia="Times New Roman" w:cs="Calibri"/>
                <w:lang w:eastAsia="fr-FR"/>
              </w:rPr>
              <w:t xml:space="preserve">B </w:t>
            </w:r>
            <w:bookmarkStart w:id="82" w:name="__UnoMark__817_2749759877"/>
            <w:bookmarkEnd w:id="82"/>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3" w:name="__UnoMark__818_2749759877"/>
            <w:bookmarkEnd w:id="83"/>
            <w:r>
              <w:rPr>
                <w:rFonts w:eastAsia="Times New Roman" w:cs="Calibri"/>
                <w:lang w:eastAsia="fr-FR"/>
              </w:rPr>
              <w:t>C</w:t>
            </w:r>
            <w:bookmarkStart w:id="84" w:name="__UnoMark__819_2749759877"/>
            <w:bookmarkEnd w:id="84"/>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85" w:name="__UnoMark__820_2749759877"/>
            <w:bookmarkEnd w:id="85"/>
            <w:r>
              <w:rPr>
                <w:rFonts w:eastAsia="Times New Roman" w:cs="Calibri"/>
                <w:lang w:eastAsia="fr-FR"/>
              </w:rPr>
              <w:t xml:space="preserve">Avoir des compétences en gestion des ressources humaines. </w:t>
            </w:r>
            <w:bookmarkStart w:id="86" w:name="__UnoMark__821_2749759877"/>
            <w:bookmarkEnd w:id="86"/>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7" w:name="__UnoMark__822_2749759877"/>
            <w:bookmarkEnd w:id="87"/>
            <w:r>
              <w:rPr>
                <w:rFonts w:eastAsia="Times New Roman" w:cs="Calibri"/>
                <w:lang w:eastAsia="fr-FR"/>
              </w:rPr>
              <w:t>B</w:t>
            </w:r>
            <w:bookmarkStart w:id="88" w:name="__UnoMark__823_2749759877"/>
            <w:bookmarkEnd w:id="88"/>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9" w:name="__UnoMark__824_2749759877"/>
            <w:bookmarkEnd w:id="89"/>
            <w:r>
              <w:rPr>
                <w:rFonts w:eastAsia="Times New Roman" w:cs="Calibri"/>
                <w:lang w:eastAsia="fr-FR"/>
              </w:rPr>
              <w:t>C</w:t>
            </w:r>
            <w:bookmarkStart w:id="90" w:name="__UnoMark__825_2749759877"/>
            <w:bookmarkEnd w:id="90"/>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91" w:name="__UnoMark__826_2749759877"/>
            <w:bookmarkEnd w:id="91"/>
            <w:r>
              <w:rPr>
                <w:rFonts w:eastAsia="Times New Roman" w:cs="Calibri"/>
                <w:b/>
                <w:lang w:eastAsia="fr-FR"/>
              </w:rPr>
              <w:t>Communication</w:t>
            </w:r>
            <w:bookmarkStart w:id="92" w:name="__UnoMark__827_2749759877"/>
            <w:bookmarkEnd w:id="92"/>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3" w:name="__UnoMark__828_2749759877"/>
            <w:bookmarkEnd w:id="93"/>
            <w:r>
              <w:rPr>
                <w:rFonts w:eastAsia="Times New Roman" w:cs="Calibri"/>
                <w:lang w:eastAsia="fr-FR"/>
              </w:rPr>
              <w:t xml:space="preserve">Maitriser les techniques de la communication écrite. </w:t>
            </w:r>
            <w:bookmarkStart w:id="94" w:name="__UnoMark__829_2749759877"/>
            <w:bookmarkEnd w:id="94"/>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5" w:name="__UnoMark__830_2749759877"/>
            <w:bookmarkEnd w:id="95"/>
            <w:r>
              <w:rPr>
                <w:rFonts w:eastAsia="Times New Roman" w:cs="Calibri"/>
                <w:lang w:eastAsia="fr-FR"/>
              </w:rPr>
              <w:t>C</w:t>
            </w:r>
            <w:bookmarkStart w:id="96" w:name="__UnoMark__831_2749759877"/>
            <w:bookmarkEnd w:id="96"/>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7" w:name="__UnoMark__832_2749759877"/>
            <w:bookmarkEnd w:id="97"/>
            <w:r>
              <w:rPr>
                <w:rFonts w:eastAsia="Times New Roman" w:cs="Calibri"/>
                <w:lang w:eastAsia="fr-FR"/>
              </w:rPr>
              <w:t>D</w:t>
            </w:r>
            <w:bookmarkStart w:id="98" w:name="__UnoMark__833_2749759877"/>
            <w:bookmarkEnd w:id="98"/>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9" w:name="__UnoMark__834_2749759877"/>
            <w:bookmarkEnd w:id="99"/>
            <w:r>
              <w:rPr>
                <w:rFonts w:eastAsia="Times New Roman" w:cs="Calibri"/>
                <w:lang w:eastAsia="fr-FR"/>
              </w:rPr>
              <w:t xml:space="preserve">Maitriser les techniques de la communication orale. </w:t>
            </w:r>
            <w:bookmarkStart w:id="100" w:name="__UnoMark__835_2749759877"/>
            <w:bookmarkEnd w:id="100"/>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1" w:name="__UnoMark__836_2749759877"/>
            <w:bookmarkEnd w:id="101"/>
            <w:r>
              <w:rPr>
                <w:rFonts w:eastAsia="Times New Roman" w:cs="Calibri"/>
                <w:lang w:eastAsia="fr-FR"/>
              </w:rPr>
              <w:t xml:space="preserve">C  </w:t>
            </w:r>
            <w:bookmarkStart w:id="102" w:name="__UnoMark__837_2749759877"/>
            <w:bookmarkEnd w:id="102"/>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3" w:name="__UnoMark__838_2749759877"/>
            <w:bookmarkEnd w:id="103"/>
            <w:r>
              <w:rPr>
                <w:rFonts w:eastAsia="Times New Roman" w:cs="Calibri"/>
                <w:lang w:eastAsia="fr-FR"/>
              </w:rPr>
              <w:t>D</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sectPr>
          <w:headerReference w:type="default" r:id="rId14"/>
          <w:footerReference w:type="default" r:id="rId15"/>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tbl>
      <w:tblPr>
        <w:tblpPr w:leftFromText="141" w:rightFromText="141" w:horzAnchor="margin" w:tblpXSpec="center" w:tblpY="337"/>
        <w:tblW w:w="10363" w:type="dxa"/>
        <w:jc w:val="center"/>
        <w:tblCellMar>
          <w:left w:w="70" w:type="dxa"/>
          <w:right w:w="70" w:type="dxa"/>
        </w:tblCellMar>
        <w:tblLook w:val="0000" w:firstRow="0" w:lastRow="0" w:firstColumn="0" w:lastColumn="0" w:noHBand="0" w:noVBand="0"/>
      </w:tblPr>
      <w:tblGrid>
        <w:gridCol w:w="8528"/>
        <w:gridCol w:w="613"/>
        <w:gridCol w:w="38"/>
        <w:gridCol w:w="37"/>
        <w:gridCol w:w="17"/>
        <w:gridCol w:w="970"/>
        <w:gridCol w:w="160"/>
      </w:tblGrid>
      <w:tr>
        <w:trPr>
          <w:cantSplit/>
          <w:trHeight w:val="564"/>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Times New Roman"/>
                <w:b/>
                <w:color w:val="1F497D"/>
                <w:lang w:eastAsia="fr-FR"/>
              </w:rPr>
            </w:pPr>
            <w:r>
              <w:rPr>
                <w:rFonts w:eastAsia="Times New Roman" w:cs="Times New Roman"/>
                <w:b/>
                <w:sz w:val="24"/>
                <w:lang w:eastAsia="fr-FR"/>
              </w:rPr>
              <w:t>Compétences Comportementales</w:t>
            </w:r>
          </w:p>
        </w:tc>
        <w:tc>
          <w:tcPr>
            <w:tcW w:w="160" w:type="dxa"/>
            <w:shd w:val="clear" w:color="auto" w:fill="auto"/>
          </w:tcPr>
          <w:p/>
        </w:tc>
      </w:tr>
      <w:tr>
        <w:trPr>
          <w:gridAfter w:val="1"/>
          <w:wAfter w:w="160" w:type="dxa"/>
          <w:cantSplit/>
          <w:trHeight w:val="546"/>
          <w:jc w:val="center"/>
        </w:trPr>
        <w:tc>
          <w:tcPr>
            <w:tcW w:w="8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r>
              <w:rPr>
                <w:rFonts w:eastAsia="Times New Roman" w:cs="Times New Roman"/>
                <w:b/>
                <w:color w:val="000000"/>
                <w:lang w:eastAsia="fr-FR"/>
              </w:rPr>
              <w:t>Niveaux de maitrise</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Aptitude à acquérir la compétence -&gt; avoir des notions théoriques</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Élémentaire -&gt; agir de façon réactive, avec accompagnement</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Intermédiaire -&gt; agir de façon proactive, autonome</w:t>
            </w:r>
          </w:p>
          <w:p>
            <w:pPr>
              <w:numPr>
                <w:ilvl w:val="0"/>
                <w:numId w:val="3"/>
              </w:numPr>
              <w:tabs>
                <w:tab w:val="left" w:pos="1985"/>
              </w:tabs>
              <w:spacing w:after="0" w:line="240" w:lineRule="auto"/>
              <w:contextualSpacing/>
              <w:rPr>
                <w:rFonts w:ascii="Calibri" w:eastAsia="Times New Roman" w:hAnsi="Calibri" w:cs="Times New Roman"/>
                <w:b/>
                <w:color w:val="1F497D"/>
                <w:lang w:eastAsia="fr-FR"/>
              </w:rPr>
            </w:pPr>
            <w:r>
              <w:rPr>
                <w:rFonts w:eastAsia="Times New Roman" w:cs="Times New Roman"/>
                <w:b/>
                <w:color w:val="000000"/>
                <w:lang w:eastAsia="fr-FR"/>
              </w:rPr>
              <w:t>Avancé -&gt; agir avec excellence, faire preuve d’anticipation</w:t>
            </w:r>
          </w:p>
          <w:p>
            <w:pPr>
              <w:tabs>
                <w:tab w:val="left" w:pos="1985"/>
              </w:tabs>
              <w:spacing w:after="0" w:line="240" w:lineRule="auto"/>
              <w:ind w:left="785"/>
              <w:contextualSpacing/>
              <w:rPr>
                <w:rFonts w:ascii="Calibri" w:eastAsia="Times New Roman" w:hAnsi="Calibri" w:cs="Times New Roman"/>
                <w:b/>
                <w:color w:val="1F497D"/>
                <w:lang w:eastAsia="fr-FR"/>
              </w:rPr>
            </w:pPr>
          </w:p>
        </w:tc>
        <w:tc>
          <w:tcPr>
            <w:tcW w:w="16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Times New Roman" w:eastAsia="Times New Roman" w:hAnsi="Times New Roman" w:cs="Times New Roman"/>
                <w:sz w:val="24"/>
                <w:szCs w:val="24"/>
                <w:lang w:val="fr-FR" w:eastAsia="fr-FR"/>
              </w:rPr>
            </w:pPr>
            <w:r>
              <w:rPr>
                <w:rFonts w:eastAsia="Times New Roman" w:cs="Calibri"/>
                <w:lang w:eastAsia="fr-FR"/>
              </w:rPr>
              <w:t xml:space="preserve">Niveau attendu : </w:t>
            </w:r>
          </w:p>
        </w:tc>
      </w:tr>
      <w:tr>
        <w:trPr>
          <w:gridAfter w:val="1"/>
          <w:wAfter w:w="160" w:type="dxa"/>
          <w:cantSplit/>
          <w:trHeight w:val="1056"/>
          <w:jc w:val="center"/>
        </w:trPr>
        <w:tc>
          <w:tcPr>
            <w:tcW w:w="8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p>
        </w:tc>
        <w:tc>
          <w:tcPr>
            <w:tcW w:w="70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En jury</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À terme</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Innover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FR"/>
              </w:rPr>
            </w:pPr>
            <w:r>
              <w:rPr>
                <w:rFonts w:eastAsia="Times New Roman" w:cs="Calibri"/>
                <w:lang w:val="fr-FR" w:eastAsia="fr-FR"/>
              </w:rPr>
              <w:t xml:space="preserve">Avoir une capacité d’observation objective et d’analyse du fonctionnement de son école en vue, le cas échéant, de dégager des pistes d’action alternatives. </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d'accompagner le changement.</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Établir des liens entre les diverses données, concevoir des alternatives et tirer des conclusions adéquates.</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Souder des équipes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de prendre des décisions et de s’y tenir après avoir instruit la question à trancher et/ou au terme d’un processus participatif.</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BE"/>
              </w:rPr>
            </w:pPr>
            <w:r>
              <w:rPr>
                <w:rFonts w:eastAsia="Times New Roman" w:cs="Calibri"/>
                <w:lang w:val="fr-FR" w:eastAsia="fr-FR"/>
              </w:rPr>
              <w:t xml:space="preserve">Reconnaitre les qualités des collaborateurs, les stimuler à prendre des initiatives en leur donnant des responsabilités et en adaptant son propre style de leadership. </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Conseiller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cs="Calibri"/>
                <w:lang w:val="fr-FR"/>
              </w:rPr>
              <w:t>Fournir des conseils à ses interlocuteurs et développer avec eux une relation de confiance basée sur ses expertises.</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B</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hAnsi="Calibri" w:cs="Calibri"/>
                <w:lang w:val="fr-FR"/>
              </w:rPr>
            </w:pPr>
            <w:r>
              <w:rPr>
                <w:rFonts w:eastAsia="Times New Roman" w:cs="Calibri"/>
                <w:lang w:val="fr-FR" w:eastAsia="fr-FR"/>
              </w:rPr>
              <w:t>Avoir le sens de l’écoute et de la communication ; être capable de manifester de l’empathie, de l’enthousiasme et de la reconnaissance.</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Faire preuve de fiabilité</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cohérent dans ses principes, ses valeurs et son comportement, avoir le sens de l’intérêt général et respecter la dignité de la fonction.</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S’impliquer et démontrer de la volonté et de l’ambition afin de générer des résultats et assumer la responsabilité de la qualité des actions entreprises.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40"/>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Décider</w:t>
            </w:r>
          </w:p>
        </w:tc>
        <w:tc>
          <w:tcPr>
            <w:tcW w:w="160" w:type="dxa"/>
            <w:shd w:val="clear" w:color="auto" w:fill="auto"/>
          </w:tcP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eastAsia="Times New Roman" w:cs="Calibri"/>
                <w:lang w:val="fr-FR" w:eastAsia="fr-FR"/>
              </w:rPr>
            </w:pPr>
            <w:r>
              <w:rPr>
                <w:rFonts w:ascii="Calibri" w:hAnsi="Calibri" w:cs="Calibri"/>
              </w:rPr>
              <w:t>Définir les objectifs de manière pro active, étayer des plans d'actions de manière minutieuse en y impliquant des bonnes ressources dans les délais disponibles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C</w:t>
            </w: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Prendre des décisions à partir d’informations (in)complètes et initier des actions ciblées afin de mettre en œuvre les décisions.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B </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Gérer le stress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Réagir au stress en se focalisant sur le résultat en gérant ses émotions et en adoptant une attitude constructive face à la critique.</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r>
    </w:tbl>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p>
      <w:pPr>
        <w:shd w:val="clear" w:color="auto" w:fill="001D77"/>
        <w:spacing w:after="160" w:line="259" w:lineRule="auto"/>
        <w:jc w:val="center"/>
        <w:rPr>
          <w:rFonts w:cstheme="minorHAnsi"/>
          <w:sz w:val="28"/>
        </w:rPr>
      </w:pPr>
      <w:r>
        <w:rPr>
          <w:rFonts w:cstheme="minorHAnsi"/>
          <w:i/>
          <w:sz w:val="28"/>
        </w:rPr>
        <w:t>Compétences investiguées lors du Jury</w:t>
      </w:r>
    </w:p>
    <w:p>
      <w:pPr>
        <w:spacing w:after="160" w:line="259" w:lineRule="auto"/>
        <w:rPr>
          <w:rFonts w:cstheme="minorHAnsi"/>
        </w:rPr>
      </w:pPr>
      <w:r>
        <w:rPr>
          <w:rFonts w:cstheme="minorHAnsi"/>
        </w:rPr>
        <w:t xml:space="preserve">Voici un récapitulatif des compétences qui seront investiguées à l’entretien: </w:t>
      </w:r>
    </w:p>
    <w:p>
      <w:pPr>
        <w:jc w:val="both"/>
        <w:rPr>
          <w:rFonts w:cs="Arial"/>
          <w:b/>
          <w:szCs w:val="20"/>
        </w:rPr>
      </w:pPr>
      <w:r>
        <w:rPr>
          <w:rFonts w:cs="Arial"/>
          <w:b/>
          <w:szCs w:val="20"/>
        </w:rPr>
        <w:t>Il faut minimum 60% des points pour figurer dans le classement des lauréats potentiels (minimum de 60/100) soit : 81/135.</w:t>
      </w:r>
    </w:p>
    <w:tbl>
      <w:tblPr>
        <w:tblpPr w:leftFromText="141" w:rightFromText="141" w:vertAnchor="page" w:horzAnchor="margin" w:tblpY="3754"/>
        <w:tblW w:w="9067" w:type="dxa"/>
        <w:tblCellMar>
          <w:left w:w="70" w:type="dxa"/>
          <w:right w:w="70" w:type="dxa"/>
        </w:tblCellMar>
        <w:tblLook w:val="0000" w:firstRow="0" w:lastRow="0" w:firstColumn="0" w:lastColumn="0" w:noHBand="0" w:noVBand="0"/>
      </w:tblPr>
      <w:tblGrid>
        <w:gridCol w:w="7650"/>
        <w:gridCol w:w="1417"/>
      </w:tblGrid>
      <w:tr>
        <w:trPr>
          <w:trHeight w:val="841"/>
        </w:trPr>
        <w:tc>
          <w:tcPr>
            <w:tcW w:w="76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sz w:val="24"/>
                <w:lang w:val="fr-FR" w:eastAsia="fr-FR"/>
              </w:rPr>
              <w:t>Profil de compétence</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 xml:space="preserve">Pondération </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eastAsia="fr-FR"/>
              </w:rPr>
            </w:pPr>
            <w:r>
              <w:rPr>
                <w:rFonts w:eastAsia="Times New Roman" w:cs="Calibri"/>
                <w:b/>
                <w:lang w:val="fr-FR" w:eastAsia="fr-FR"/>
              </w:rPr>
              <w:t xml:space="preserve">Motivation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20</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techniques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65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color w:val="000000"/>
                <w:lang w:eastAsia="fr-FR"/>
              </w:rPr>
              <w:t>Avoir des compétences en gestion administrative, financière et matérielle de l’établissement.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jc w:val="both"/>
              <w:rPr>
                <w:rFonts w:ascii="Calibri" w:eastAsia="Times New Roman" w:hAnsi="Calibri" w:cs="Calibri"/>
                <w:lang w:val="fr-FR" w:eastAsia="fr-FR"/>
              </w:rPr>
            </w:pPr>
            <w:r>
              <w:rPr>
                <w:rFonts w:eastAsia="Times New Roman" w:cs="Times New Roman"/>
                <w:lang w:eastAsia="fr-FR"/>
              </w:rPr>
              <w:t>Disposer de compétences pédagogiques et montrer un intérêt pour la recherche en éducation adaptée au niveau d’enseignement concerné.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FR"/>
              </w:rPr>
            </w:pPr>
            <w:r>
              <w:rPr>
                <w:rFonts w:eastAsia="Times New Roman" w:cs="Times New Roman"/>
                <w:lang w:eastAsia="fr-FR"/>
              </w:rPr>
              <w:t>Avoir la capacité de lire et comprendre un texte juridique.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BE"/>
              </w:rPr>
            </w:pPr>
            <w:r>
              <w:rPr>
                <w:rFonts w:eastAsia="Times New Roman" w:cs="Calibri"/>
                <w:color w:val="000000"/>
                <w:lang w:eastAsia="fr-FR"/>
              </w:rPr>
              <w:t>Être capable de gérer des conflits.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Maitriser les techniques de la communication orale.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 xml:space="preserve">Maitriser les techniques de la communication écrite.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5</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comportementales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50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Innover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97"/>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Souder des équipes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Conseiller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Faire preuve de fiabilité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510"/>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right"/>
              <w:rPr>
                <w:rFonts w:ascii="Calibri" w:eastAsia="Times New Roman" w:hAnsi="Calibri" w:cs="Calibri"/>
                <w:b/>
                <w:lang w:val="fr-FR" w:eastAsia="fr-FR"/>
              </w:rPr>
            </w:pPr>
            <w:r>
              <w:rPr>
                <w:rFonts w:eastAsia="Times New Roman" w:cs="Calibri"/>
                <w:b/>
                <w:lang w:val="fr-FR" w:eastAsia="fr-FR"/>
              </w:rPr>
              <w:t xml:space="preserve">Total </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135 points</w:t>
            </w:r>
          </w:p>
        </w:tc>
      </w:tr>
    </w:tbl>
    <w:p>
      <w:pPr>
        <w:jc w:val="both"/>
        <w:rPr>
          <w:rFonts w:cs="Arial"/>
          <w:b/>
          <w:szCs w:val="20"/>
        </w:rPr>
      </w:pPr>
    </w:p>
    <w:p>
      <w:pPr>
        <w:tabs>
          <w:tab w:val="left" w:pos="3705"/>
        </w:tabs>
        <w:jc w:val="both"/>
        <w:rPr>
          <w:rFonts w:cs="Times New Roman"/>
        </w:rPr>
      </w:pPr>
      <w:r>
        <w:t xml:space="preserve">Le classement des lauréats sera établi sur base des résultats obtenus lors du jury. A égalité de points, la priorité sera donnée à la personne ayant obtenu le plus grand nombre de points à la partie « souder des équipes </w:t>
      </w:r>
      <w:r>
        <w:rPr>
          <w:rFonts w:eastAsia="Times New Roman"/>
          <w:lang w:eastAsia="fr-FR"/>
        </w:rPr>
        <w:t>».</w:t>
      </w:r>
      <w:r>
        <w:t>  Si pour cette partie, des personnes ont des points égaux, leur classement sera établi de manière aléatoire.</w:t>
      </w:r>
    </w:p>
    <w:p>
      <w:pPr>
        <w:jc w:val="both"/>
        <w:rPr>
          <w:rFonts w:cstheme="minorHAnsi"/>
          <w:highlight w:val="yellow"/>
        </w:rPr>
      </w:pPr>
    </w:p>
    <w:sectPr>
      <w:headerReference w:type="default" r:id="rId16"/>
      <w:footerReference w:type="default" r:id="rId17"/>
      <w:pgSz w:w="11906" w:h="16838"/>
      <w:pgMar w:top="1417" w:right="1417" w:bottom="1417" w:left="1417" w:header="708" w:footer="16"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8" behindDoc="1" locked="0" layoutInCell="1" allowOverlap="1">
          <wp:simplePos x="0" y="0"/>
          <wp:positionH relativeFrom="margin">
            <wp:align>center</wp:align>
          </wp:positionH>
          <wp:positionV relativeFrom="paragraph">
            <wp:posOffset>-309880</wp:posOffset>
          </wp:positionV>
          <wp:extent cx="593725" cy="672465"/>
          <wp:effectExtent l="0" t="0" r="0" b="0"/>
          <wp:wrapNone/>
          <wp:docPr id="3"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color w:val="7F7F7F"/>
        <w:sz w:val="18"/>
        <w:szCs w:val="18"/>
      </w:rPr>
      <w:fldChar w:fldCharType="begin"/>
    </w:r>
    <w:r>
      <w:rPr>
        <w:rFonts w:cs="Calibri"/>
        <w:sz w:val="18"/>
        <w:szCs w:val="18"/>
      </w:rPr>
      <w:instrText>PAGE</w:instrText>
    </w:r>
    <w:r>
      <w:rPr>
        <w:rFonts w:cs="Calibri"/>
        <w:sz w:val="18"/>
        <w:szCs w:val="18"/>
      </w:rPr>
      <w:fldChar w:fldCharType="separate"/>
    </w:r>
    <w:r>
      <w:rPr>
        <w:rFonts w:cs="Calibri"/>
        <w:noProof/>
        <w:sz w:val="18"/>
        <w:szCs w:val="18"/>
      </w:rPr>
      <w:t>6</w:t>
    </w:r>
    <w:r>
      <w:rPr>
        <w:rFonts w:cs="Calibri"/>
        <w:sz w:val="18"/>
        <w:szCs w:val="18"/>
      </w:rPr>
      <w:fldChar w:fldCharType="end"/>
    </w:r>
    <w:r>
      <w:rPr>
        <w:rFonts w:cs="Calibri"/>
        <w:color w:val="7F7F7F"/>
        <w:sz w:val="18"/>
        <w:szCs w:val="18"/>
      </w:rPr>
      <w:t xml:space="preserve"> / </w:t>
    </w:r>
    <w:r>
      <w:rPr>
        <w:rFonts w:cs="Calibri"/>
        <w:color w:val="7F7F7F"/>
        <w:sz w:val="18"/>
        <w:szCs w:val="18"/>
      </w:rPr>
      <w:fldChar w:fldCharType="begin"/>
    </w:r>
    <w:r>
      <w:rPr>
        <w:rFonts w:cs="Calibri"/>
        <w:sz w:val="18"/>
        <w:szCs w:val="18"/>
      </w:rPr>
      <w:instrText>NUMPAGES</w:instrText>
    </w:r>
    <w:r>
      <w:rPr>
        <w:rFonts w:cs="Calibri"/>
        <w:sz w:val="18"/>
        <w:szCs w:val="18"/>
      </w:rPr>
      <w:fldChar w:fldCharType="separate"/>
    </w:r>
    <w:r>
      <w:rPr>
        <w:rFonts w:cs="Calibri"/>
        <w:noProof/>
        <w:sz w:val="18"/>
        <w:szCs w:val="18"/>
      </w:rPr>
      <w:t>15</w:t>
    </w:r>
    <w:r>
      <w:rPr>
        <w:rFonts w:cs="Calibri"/>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10" behindDoc="1" locked="0" layoutInCell="1" allowOverlap="1">
          <wp:simplePos x="0" y="0"/>
          <wp:positionH relativeFrom="margin">
            <wp:posOffset>2591806</wp:posOffset>
          </wp:positionH>
          <wp:positionV relativeFrom="paragraph">
            <wp:posOffset>-557075</wp:posOffset>
          </wp:positionV>
          <wp:extent cx="593725" cy="672465"/>
          <wp:effectExtent l="0" t="0" r="0" b="0"/>
          <wp:wrapNone/>
          <wp:docPr id="4"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5"/>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color w:val="7F7F7F"/>
        <w:sz w:val="18"/>
        <w:szCs w:val="18"/>
      </w:rPr>
      <w:fldChar w:fldCharType="begin"/>
    </w:r>
    <w:r>
      <w:rPr>
        <w:rFonts w:cs="Calibri"/>
        <w:sz w:val="18"/>
        <w:szCs w:val="18"/>
      </w:rPr>
      <w:instrText>PAGE</w:instrText>
    </w:r>
    <w:r>
      <w:rPr>
        <w:rFonts w:cs="Calibri"/>
        <w:sz w:val="18"/>
        <w:szCs w:val="18"/>
      </w:rPr>
      <w:fldChar w:fldCharType="separate"/>
    </w:r>
    <w:r>
      <w:rPr>
        <w:rFonts w:cs="Calibri"/>
        <w:noProof/>
        <w:sz w:val="18"/>
        <w:szCs w:val="18"/>
      </w:rPr>
      <w:t>13</w:t>
    </w:r>
    <w:r>
      <w:rPr>
        <w:rFonts w:cs="Calibri"/>
        <w:sz w:val="18"/>
        <w:szCs w:val="18"/>
      </w:rPr>
      <w:fldChar w:fldCharType="end"/>
    </w:r>
    <w:r>
      <w:rPr>
        <w:rFonts w:cs="Calibri"/>
        <w:color w:val="7F7F7F"/>
        <w:sz w:val="18"/>
        <w:szCs w:val="18"/>
      </w:rPr>
      <w:t xml:space="preserve"> / </w:t>
    </w:r>
    <w:r>
      <w:rPr>
        <w:rFonts w:cs="Calibri"/>
        <w:color w:val="7F7F7F"/>
        <w:sz w:val="18"/>
        <w:szCs w:val="18"/>
      </w:rPr>
      <w:fldChar w:fldCharType="begin"/>
    </w:r>
    <w:r>
      <w:rPr>
        <w:rFonts w:cs="Calibri"/>
        <w:sz w:val="18"/>
        <w:szCs w:val="18"/>
      </w:rPr>
      <w:instrText>NUMPAGES</w:instrText>
    </w:r>
    <w:r>
      <w:rPr>
        <w:rFonts w:cs="Calibri"/>
        <w:sz w:val="18"/>
        <w:szCs w:val="18"/>
      </w:rPr>
      <w:fldChar w:fldCharType="separate"/>
    </w:r>
    <w:r>
      <w:rPr>
        <w:rFonts w:cs="Calibri"/>
        <w:noProof/>
        <w:sz w:val="18"/>
        <w:szCs w:val="18"/>
      </w:rPr>
      <w:t>15</w:t>
    </w:r>
    <w:r>
      <w:rPr>
        <w:rFonts w:cs="Calibri"/>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3" behindDoc="1" locked="0" layoutInCell="1" allowOverlap="1">
          <wp:simplePos x="0" y="0"/>
          <wp:positionH relativeFrom="margin">
            <wp:align>center</wp:align>
          </wp:positionH>
          <wp:positionV relativeFrom="paragraph">
            <wp:posOffset>-332740</wp:posOffset>
          </wp:positionV>
          <wp:extent cx="593725" cy="672465"/>
          <wp:effectExtent l="0" t="0" r="0" b="0"/>
          <wp:wrapNone/>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rPr>
      <w:tab/>
    </w:r>
    <w:r>
      <w:rPr>
        <w:sz w:val="18"/>
      </w:rPr>
      <w:tab/>
    </w:r>
    <w:r>
      <w:rPr>
        <w:sz w:val="18"/>
        <w:lang w:val="fr-FR"/>
      </w:rPr>
      <w:t xml:space="preserve">Page </w:t>
    </w:r>
    <w:r>
      <w:rPr>
        <w:b/>
        <w:sz w:val="18"/>
      </w:rPr>
      <w:fldChar w:fldCharType="begin"/>
    </w:r>
    <w:r>
      <w:rPr>
        <w:b/>
        <w:sz w:val="18"/>
      </w:rPr>
      <w:instrText>PAGE \* ARABIC</w:instrText>
    </w:r>
    <w:r>
      <w:rPr>
        <w:b/>
        <w:sz w:val="18"/>
      </w:rPr>
      <w:fldChar w:fldCharType="separate"/>
    </w:r>
    <w:r>
      <w:rPr>
        <w:b/>
        <w:noProof/>
        <w:sz w:val="18"/>
      </w:rPr>
      <w:t>15</w:t>
    </w:r>
    <w:r>
      <w:rPr>
        <w:b/>
        <w:sz w:val="18"/>
      </w:rPr>
      <w:fldChar w:fldCharType="end"/>
    </w:r>
    <w:r>
      <w:rPr>
        <w:sz w:val="18"/>
        <w:lang w:val="fr-FR"/>
      </w:rPr>
      <w:t xml:space="preserve"> sur </w:t>
    </w:r>
    <w:r>
      <w:rPr>
        <w:b/>
        <w:sz w:val="18"/>
      </w:rPr>
      <w:fldChar w:fldCharType="begin"/>
    </w:r>
    <w:r>
      <w:rPr>
        <w:b/>
        <w:sz w:val="18"/>
      </w:rPr>
      <w:instrText>NUMPAGES \* ARABIC</w:instrText>
    </w:r>
    <w:r>
      <w:rPr>
        <w:b/>
        <w:sz w:val="18"/>
      </w:rPr>
      <w:fldChar w:fldCharType="separate"/>
    </w:r>
    <w:r>
      <w:rPr>
        <w:b/>
        <w:noProof/>
        <w:sz w:val="18"/>
      </w:rPr>
      <w:t>15</w:t>
    </w:r>
    <w:r>
      <w:rPr>
        <w:b/>
        <w:sz w:val="18"/>
      </w:rPr>
      <w:fldChar w:fldCharType="end"/>
    </w:r>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jc w:val="both"/>
      </w:pPr>
      <w:r>
        <w:rPr>
          <w:rStyle w:val="Caractresdenotedebasdepage"/>
        </w:rPr>
        <w:footnoteRef/>
      </w:r>
      <w:r>
        <w:t xml:space="preserve"> </w:t>
      </w:r>
      <w:r>
        <w:rPr>
          <w:rFonts w:cs="Calibri"/>
        </w:rPr>
        <w:t>Dans l’enseignement secondaire artistique à horaire réduit, les membres du personnel enseignant des disciplines pour lesquelles n’existe pas de formation délivrant un titre de niveau supérieur du 1</w:t>
      </w:r>
      <w:r>
        <w:rPr>
          <w:rFonts w:cs="Calibri"/>
          <w:vertAlign w:val="superscript"/>
        </w:rPr>
        <w:t>er</w:t>
      </w:r>
      <w:r>
        <w:rPr>
          <w:rFonts w:cs="Calibri"/>
        </w:rPr>
        <w:t xml:space="preserve"> degré, peuvent être admis au stage pour autant qu’ils soient porteurs d’un des titres visés aux articles 105 à 108 point a) ou b) du décret du 2 juin 1998 organisant l'enseignement secondaire artistique à horaire réduit subventionné par la Communauté française</w:t>
      </w:r>
      <w:r>
        <w:rPr>
          <w:rFonts w:ascii="Arial" w:hAnsi="Arial" w:cs="Arial"/>
          <w:sz w:val="24"/>
          <w:szCs w:val="24"/>
        </w:rPr>
        <w:t> </w:t>
      </w:r>
    </w:p>
  </w:footnote>
  <w:footnote w:id="2">
    <w:p>
      <w:pPr>
        <w:pStyle w:val="Notedebasdepage"/>
        <w:jc w:val="both"/>
      </w:pPr>
      <w:r>
        <w:rPr>
          <w:rStyle w:val="Caractresdenotedebasdepage"/>
        </w:rPr>
        <w:footnoteRef/>
      </w:r>
      <w:r>
        <w:t xml:space="preserve"> Constituant un titre de capacité tel que défini à l’article 100 du décret du 2 février 2007 fixant le statut des directeurs et directrices dans l’enseignement et directrices dans l’enseignement.</w:t>
      </w:r>
    </w:p>
  </w:footnote>
  <w:footnote w:id="3">
    <w:p>
      <w:pPr>
        <w:pStyle w:val="Notedebasdepage"/>
        <w:jc w:val="both"/>
      </w:pPr>
      <w:r>
        <w:rPr>
          <w:rStyle w:val="Caractresdenotedebasdepage"/>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r>
      <w:rPr>
        <w:noProof/>
        <w:lang w:eastAsia="fr-BE"/>
      </w:rPr>
      <w:drawing>
        <wp:anchor distT="0" distB="0" distL="0" distR="0" simplePos="0" relativeHeight="9" behindDoc="1" locked="0" layoutInCell="1" allowOverlap="1">
          <wp:simplePos x="0" y="0"/>
          <wp:positionH relativeFrom="margin">
            <wp:align>center</wp:align>
          </wp:positionH>
          <wp:positionV relativeFrom="paragraph">
            <wp:posOffset>-95250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4919345" cy="12115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87EFB"/>
    <w:multiLevelType w:val="hybridMultilevel"/>
    <w:tmpl w:val="D2406900"/>
    <w:lvl w:ilvl="0" w:tplc="C8027542">
      <w:numFmt w:val="bullet"/>
      <w:lvlText w:val="-"/>
      <w:lvlJc w:val="left"/>
      <w:pPr>
        <w:ind w:left="720" w:hanging="360"/>
      </w:pPr>
      <w:rPr>
        <w:rFonts w:ascii="Verdana" w:eastAsiaTheme="minorHAnsi" w:hAnsi="Verdana"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7F361DB"/>
    <w:multiLevelType w:val="multilevel"/>
    <w:tmpl w:val="ACF24F5C"/>
    <w:lvl w:ilvl="0">
      <w:start w:val="4"/>
      <w:numFmt w:val="bullet"/>
      <w:lvlText w:val="-"/>
      <w:lvlJc w:val="left"/>
      <w:pPr>
        <w:ind w:left="290" w:hanging="360"/>
      </w:pPr>
      <w:rPr>
        <w:rFonts w:ascii="Calibri" w:hAnsi="Calibri" w:cs="Calibri" w:hint="default"/>
        <w:b/>
      </w:rPr>
    </w:lvl>
    <w:lvl w:ilvl="1">
      <w:start w:val="1"/>
      <w:numFmt w:val="bullet"/>
      <w:lvlText w:val="o"/>
      <w:lvlJc w:val="left"/>
      <w:pPr>
        <w:ind w:left="1010" w:hanging="360"/>
      </w:pPr>
      <w:rPr>
        <w:rFonts w:ascii="Courier New" w:hAnsi="Courier New" w:cs="Courier New" w:hint="default"/>
      </w:rPr>
    </w:lvl>
    <w:lvl w:ilvl="2">
      <w:start w:val="1"/>
      <w:numFmt w:val="bullet"/>
      <w:lvlText w:val=""/>
      <w:lvlJc w:val="left"/>
      <w:pPr>
        <w:ind w:left="1730" w:hanging="360"/>
      </w:pPr>
      <w:rPr>
        <w:rFonts w:ascii="Wingdings" w:hAnsi="Wingdings" w:cs="Wingdings" w:hint="default"/>
      </w:rPr>
    </w:lvl>
    <w:lvl w:ilvl="3">
      <w:start w:val="1"/>
      <w:numFmt w:val="bullet"/>
      <w:lvlText w:val=""/>
      <w:lvlJc w:val="left"/>
      <w:pPr>
        <w:ind w:left="2450" w:hanging="360"/>
      </w:pPr>
      <w:rPr>
        <w:rFonts w:ascii="Symbol" w:hAnsi="Symbol" w:cs="Symbol" w:hint="default"/>
      </w:rPr>
    </w:lvl>
    <w:lvl w:ilvl="4">
      <w:start w:val="1"/>
      <w:numFmt w:val="bullet"/>
      <w:lvlText w:val="o"/>
      <w:lvlJc w:val="left"/>
      <w:pPr>
        <w:ind w:left="3170" w:hanging="360"/>
      </w:pPr>
      <w:rPr>
        <w:rFonts w:ascii="Courier New" w:hAnsi="Courier New" w:cs="Courier New" w:hint="default"/>
      </w:rPr>
    </w:lvl>
    <w:lvl w:ilvl="5">
      <w:start w:val="1"/>
      <w:numFmt w:val="bullet"/>
      <w:lvlText w:val=""/>
      <w:lvlJc w:val="left"/>
      <w:pPr>
        <w:ind w:left="3890" w:hanging="360"/>
      </w:pPr>
      <w:rPr>
        <w:rFonts w:ascii="Wingdings" w:hAnsi="Wingdings" w:cs="Wingdings" w:hint="default"/>
      </w:rPr>
    </w:lvl>
    <w:lvl w:ilvl="6">
      <w:start w:val="1"/>
      <w:numFmt w:val="bullet"/>
      <w:lvlText w:val=""/>
      <w:lvlJc w:val="left"/>
      <w:pPr>
        <w:ind w:left="4610" w:hanging="360"/>
      </w:pPr>
      <w:rPr>
        <w:rFonts w:ascii="Symbol" w:hAnsi="Symbol" w:cs="Symbol" w:hint="default"/>
      </w:rPr>
    </w:lvl>
    <w:lvl w:ilvl="7">
      <w:start w:val="1"/>
      <w:numFmt w:val="bullet"/>
      <w:lvlText w:val="o"/>
      <w:lvlJc w:val="left"/>
      <w:pPr>
        <w:ind w:left="5330" w:hanging="360"/>
      </w:pPr>
      <w:rPr>
        <w:rFonts w:ascii="Courier New" w:hAnsi="Courier New" w:cs="Courier New" w:hint="default"/>
      </w:rPr>
    </w:lvl>
    <w:lvl w:ilvl="8">
      <w:start w:val="1"/>
      <w:numFmt w:val="bullet"/>
      <w:lvlText w:val=""/>
      <w:lvlJc w:val="left"/>
      <w:pPr>
        <w:ind w:left="6050" w:hanging="360"/>
      </w:pPr>
      <w:rPr>
        <w:rFonts w:ascii="Wingdings" w:hAnsi="Wingdings" w:cs="Wingdings" w:hint="default"/>
      </w:rPr>
    </w:lvl>
  </w:abstractNum>
  <w:abstractNum w:abstractNumId="2" w15:restartNumberingAfterBreak="0">
    <w:nsid w:val="608929F1"/>
    <w:multiLevelType w:val="multilevel"/>
    <w:tmpl w:val="695A0656"/>
    <w:lvl w:ilvl="0">
      <w:start w:val="1"/>
      <w:numFmt w:val="upperLetter"/>
      <w:lvlText w:val="%1."/>
      <w:lvlJc w:val="left"/>
      <w:pPr>
        <w:ind w:left="720"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3071D6F"/>
    <w:multiLevelType w:val="multilevel"/>
    <w:tmpl w:val="C3A0518C"/>
    <w:lvl w:ilvl="0">
      <w:start w:val="1"/>
      <w:numFmt w:val="upperLetter"/>
      <w:lvlText w:val="%1."/>
      <w:lvlJc w:val="left"/>
      <w:pPr>
        <w:ind w:left="785"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73F01BB"/>
    <w:multiLevelType w:val="multilevel"/>
    <w:tmpl w:val="2E721F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FBB8AB-F434-4876-A5F4-284EEAA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basedOn w:val="Policepardfaut"/>
    <w:link w:val="Commentaire"/>
    <w:uiPriority w:val="99"/>
    <w:qFormat/>
    <w:rPr>
      <w:rFonts w:ascii="Century Schoolbook" w:eastAsia="Times New Roman" w:hAnsi="Century Schoolbook" w:cs="Century Schoolbook"/>
      <w:sz w:val="20"/>
      <w:szCs w:val="20"/>
      <w:lang w:eastAsia="fr-FR"/>
    </w:rPr>
  </w:style>
  <w:style w:type="character" w:customStyle="1" w:styleId="NotedebasdepageCar">
    <w:name w:val="Note de bas de page Car"/>
    <w:basedOn w:val="Policepardfaut"/>
    <w:link w:val="Notedebasdepage"/>
    <w:uiPriority w:val="99"/>
    <w:semiHidden/>
    <w:qFormat/>
    <w:rPr>
      <w:sz w:val="20"/>
      <w:szCs w:val="20"/>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unhideWhenUsed/>
    <w:qFormat/>
    <w:rPr>
      <w:vertAlign w:val="superscript"/>
    </w:rPr>
  </w:style>
  <w:style w:type="character" w:styleId="Marquedecommentaire">
    <w:name w:val="annotation reference"/>
    <w:basedOn w:val="Policepardfaut"/>
    <w:uiPriority w:val="99"/>
    <w:semiHidden/>
    <w:unhideWhenUsed/>
    <w:qFormat/>
    <w:rPr>
      <w:sz w:val="16"/>
      <w:szCs w:val="16"/>
    </w:rPr>
  </w:style>
  <w:style w:type="character" w:customStyle="1" w:styleId="En-tteCar">
    <w:name w:val="En-tête Car"/>
    <w:basedOn w:val="Policepardfaut"/>
    <w:uiPriority w:val="99"/>
    <w:qFormat/>
  </w:style>
  <w:style w:type="character" w:customStyle="1" w:styleId="PieddepageCar">
    <w:name w:val="Pied de page Car"/>
    <w:basedOn w:val="Policepardfaut"/>
    <w:link w:val="Pieddepage"/>
    <w:uiPriority w:val="99"/>
    <w:qFormat/>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character" w:customStyle="1" w:styleId="ObjetducommentaireCar">
    <w:name w:val="Objet du commentaire Car"/>
    <w:basedOn w:val="CommentaireCar"/>
    <w:link w:val="Objetducommentaire"/>
    <w:uiPriority w:val="99"/>
    <w:semiHidden/>
    <w:qFormat/>
    <w:rPr>
      <w:rFonts w:ascii="Century Schoolbook" w:eastAsia="Times New Roman" w:hAnsi="Century Schoolbook" w:cs="Century Schoolbook"/>
      <w:b/>
      <w:bCs/>
      <w:sz w:val="20"/>
      <w:szCs w:val="20"/>
      <w:lang w:eastAsia="fr-FR"/>
    </w:rPr>
  </w:style>
  <w:style w:type="character" w:customStyle="1" w:styleId="LienInternet">
    <w:name w:val="Lien Internet"/>
    <w:basedOn w:val="Policepardfaut"/>
    <w:uiPriority w:val="99"/>
    <w:unhideWhenUsed/>
    <w:rPr>
      <w:color w:val="0563C1" w:themeColor="hyperlink"/>
      <w:u w:val="single"/>
    </w:rPr>
  </w:style>
  <w:style w:type="character" w:styleId="lev">
    <w:name w:val="Strong"/>
    <w:basedOn w:val="Policepardfaut"/>
    <w:uiPriority w:val="22"/>
    <w:qFormat/>
    <w:rPr>
      <w:b/>
      <w:bCs/>
    </w:rPr>
  </w:style>
  <w:style w:type="character" w:customStyle="1" w:styleId="TitreCar">
    <w:name w:val="Titre Car"/>
    <w:basedOn w:val="Policepardfaut"/>
    <w:link w:val="Titre"/>
    <w:uiPriority w:val="10"/>
    <w:qFormat/>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character" w:customStyle="1" w:styleId="Sous-titreCar">
    <w:name w:val="Sous-titre Car"/>
    <w:basedOn w:val="Policepardfaut"/>
    <w:uiPriority w:val="11"/>
    <w:qFormat/>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qFormat/>
    <w:rPr>
      <w:color w:val="808080"/>
    </w:rPr>
  </w:style>
  <w:style w:type="character" w:customStyle="1" w:styleId="Caractresdenotedebasdepage">
    <w:name w:val="Caractères de note de bas de page"/>
    <w:qFormat/>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link w:val="TitreCar"/>
    <w:uiPriority w:val="10"/>
    <w:qFormat/>
    <w:pPr>
      <w:spacing w:before="3600" w:after="240" w:line="240" w:lineRule="auto"/>
      <w:contextualSpacing/>
    </w:pPr>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paragraph" w:styleId="Corpsdetexte">
    <w:name w:val="Body Text"/>
    <w:basedOn w:val="Normal"/>
    <w:pPr>
      <w:spacing w:after="140"/>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Commentaire">
    <w:name w:val="annotation text"/>
    <w:basedOn w:val="Normal"/>
    <w:link w:val="CommentaireCar"/>
    <w:uiPriority w:val="99"/>
    <w:qFormat/>
    <w:pPr>
      <w:widowControl w:val="0"/>
      <w:spacing w:after="0" w:line="240" w:lineRule="exact"/>
      <w:jc w:val="both"/>
    </w:pPr>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paragraph" w:customStyle="1" w:styleId="En-tteetpieddepage">
    <w:name w:val="En-tête et pied de page"/>
    <w:basedOn w:val="Normal"/>
    <w:qFormat/>
  </w:style>
  <w:style w:type="paragraph" w:styleId="En-tte">
    <w:name w:val="header"/>
    <w:basedOn w:val="Normal"/>
    <w:unhideWhenUsed/>
    <w:pPr>
      <w:tabs>
        <w:tab w:val="center" w:pos="4536"/>
        <w:tab w:val="right" w:pos="9072"/>
      </w:tabs>
      <w:spacing w:after="0" w:line="240" w:lineRule="auto"/>
    </w:pPr>
  </w:style>
  <w:style w:type="paragraph" w:styleId="Pieddepage">
    <w:name w:val="footer"/>
    <w:basedOn w:val="Normal"/>
    <w:link w:val="PieddepageCar"/>
    <w:unhideWhenUsed/>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aragraphedeliste">
    <w:name w:val="List Paragraph"/>
    <w:basedOn w:val="Normal"/>
    <w:uiPriority w:val="34"/>
    <w:qFormat/>
    <w:pPr>
      <w:spacing w:after="160" w:line="259" w:lineRule="auto"/>
      <w:ind w:left="720"/>
      <w:contextualSpacing/>
    </w:pPr>
    <w:rPr>
      <w:rFonts w:ascii="Calibri" w:eastAsia="Calibri" w:hAnsi="Calibri" w:cs="Times New Roman"/>
    </w:rPr>
  </w:style>
  <w:style w:type="paragraph" w:styleId="Objetducommentaire">
    <w:name w:val="annotation subject"/>
    <w:basedOn w:val="Commentaire"/>
    <w:next w:val="Commentaire"/>
    <w:link w:val="ObjetducommentaireCar"/>
    <w:uiPriority w:val="99"/>
    <w:semiHidden/>
    <w:unhideWhenUsed/>
    <w:qFormat/>
    <w:pPr>
      <w:widowControl/>
      <w:spacing w:after="200" w:line="240" w:lineRule="auto"/>
      <w:jc w:val="left"/>
    </w:pPr>
    <w:rPr>
      <w:rFonts w:asciiTheme="minorHAnsi" w:eastAsiaTheme="minorHAnsi" w:hAnsiTheme="minorHAnsi" w:cstheme="minorBidi"/>
      <w:b/>
      <w:bCs/>
      <w:lang w:eastAsia="en-US"/>
    </w:rPr>
  </w:style>
  <w:style w:type="paragraph" w:customStyle="1" w:styleId="text-justify">
    <w:name w:val="text-justify"/>
    <w:basedOn w:val="Normal"/>
    <w:qFormat/>
    <w:pPr>
      <w:spacing w:beforeAutospacing="1" w:afterAutospacing="1" w:line="240" w:lineRule="auto"/>
    </w:pPr>
    <w:rPr>
      <w:rFonts w:ascii="Times New Roman" w:eastAsia="Times New Roman" w:hAnsi="Times New Roman" w:cs="Times New Roman"/>
      <w:sz w:val="24"/>
      <w:szCs w:val="24"/>
      <w:lang w:eastAsia="fr-BE"/>
    </w:rPr>
  </w:style>
  <w:style w:type="paragraph" w:styleId="Sous-titre">
    <w:name w:val="Subtitle"/>
    <w:basedOn w:val="Normal"/>
    <w:next w:val="Normal"/>
    <w:uiPriority w:val="11"/>
    <w:qFormat/>
    <w:pPr>
      <w:spacing w:after="0" w:line="273" w:lineRule="auto"/>
    </w:pPr>
    <w:rPr>
      <w:rFonts w:ascii="Arial" w:eastAsiaTheme="majorEastAsia" w:hAnsi="Arial" w:cstheme="majorBidi"/>
      <w:b/>
      <w:iCs/>
      <w:caps/>
      <w:color w:val="ED7D31" w:themeColor="accent2"/>
      <w:sz w:val="44"/>
      <w:szCs w:val="24"/>
      <w:lang w:val="nl-BE" w:eastAsia="nl-BE" w:bidi="hi-IN"/>
    </w:rPr>
  </w:style>
  <w:style w:type="paragraph" w:customStyle="1" w:styleId="Contenudecadre">
    <w:name w:val="Contenu de cadre"/>
    <w:basedOn w:val="Normal"/>
    <w:qFormat/>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1293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w-b-e.be/jobs-carriere/evolution-de-carriere/emplois-vacants/"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5D68545-1F76-4338-9625-E400D018F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4163</Words>
  <Characters>22897</Characters>
  <Application>Microsoft Office Word</Application>
  <DocSecurity>0</DocSecurity>
  <Lines>190</Lines>
  <Paragraphs>54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27006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Ecole Secondaire</dc:creator>
  <dc:description/>
  <cp:lastModifiedBy>ETNIC</cp:lastModifiedBy>
  <cp:revision>2</cp:revision>
  <cp:lastPrinted>2020-09-16T15:26:00Z</cp:lastPrinted>
  <dcterms:created xsi:type="dcterms:W3CDTF">2020-11-25T08:56:00Z</dcterms:created>
  <dcterms:modified xsi:type="dcterms:W3CDTF">2020-11-25T08:56:00Z</dcterms:modified>
  <dc:language>fr-BE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ETNIC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